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80" w:lineRule="exact"/>
        <w:ind w:left="0"/>
        <w:jc w:val="both"/>
        <w:rPr>
          <w:rFonts w:ascii="黑体" w:hAnsi="黑体" w:eastAsia="黑体" w:cs="黑体"/>
          <w:kern w:val="44"/>
          <w:lang w:val="en-US"/>
        </w:rPr>
      </w:pPr>
      <w:r>
        <w:rPr>
          <w:rFonts w:hint="eastAsia" w:ascii="黑体" w:hAnsi="黑体" w:eastAsia="黑体" w:cs="黑体"/>
          <w:kern w:val="44"/>
          <w:lang w:val="en-US"/>
        </w:rPr>
        <w:t>附件1</w:t>
      </w:r>
    </w:p>
    <w:p>
      <w:pPr>
        <w:pStyle w:val="2"/>
        <w:spacing w:line="580" w:lineRule="exact"/>
        <w:ind w:left="0"/>
        <w:jc w:val="center"/>
        <w:rPr>
          <w:rFonts w:ascii="方正小标宋_GBK" w:hAnsi="方正小标宋简体" w:eastAsia="方正小标宋_GBK" w:cs="方正小标宋简体"/>
          <w:sz w:val="44"/>
          <w:szCs w:val="44"/>
        </w:rPr>
      </w:pPr>
      <w:bookmarkStart w:id="212" w:name="_GoBack"/>
      <w:bookmarkEnd w:id="212"/>
    </w:p>
    <w:p>
      <w:pPr>
        <w:pStyle w:val="2"/>
        <w:spacing w:line="580" w:lineRule="exact"/>
        <w:ind w:left="0"/>
        <w:jc w:val="center"/>
        <w:rPr>
          <w:rFonts w:hint="default" w:ascii="方正小标宋_GBK" w:hAnsi="方正小标宋简体" w:eastAsia="方正小标宋_GBK" w:cs="方正小标宋简体"/>
          <w:sz w:val="36"/>
          <w:szCs w:val="36"/>
          <w:lang w:val="en-US" w:eastAsia="zh-CN"/>
        </w:rPr>
      </w:pPr>
      <w:r>
        <w:rPr>
          <w:rFonts w:hint="eastAsia" w:ascii="方正小标宋_GBK" w:hAnsi="方正小标宋简体" w:eastAsia="方正小标宋_GBK" w:cs="方正小标宋简体"/>
          <w:sz w:val="36"/>
          <w:szCs w:val="36"/>
          <w:lang w:eastAsia="zh-CN"/>
        </w:rPr>
        <w:t>《</w:t>
      </w:r>
      <w:r>
        <w:rPr>
          <w:rFonts w:hint="eastAsia" w:ascii="方正小标宋_GBK" w:hAnsi="方正小标宋简体" w:eastAsia="方正小标宋_GBK" w:cs="方正小标宋简体"/>
          <w:sz w:val="36"/>
          <w:szCs w:val="36"/>
        </w:rPr>
        <w:t>天津市滨海新区知识产权发展“十四五”规划</w:t>
      </w:r>
      <w:r>
        <w:rPr>
          <w:rFonts w:hint="eastAsia" w:ascii="方正小标宋_GBK" w:hAnsi="方正小标宋简体" w:eastAsia="方正小标宋_GBK" w:cs="方正小标宋简体"/>
          <w:sz w:val="36"/>
          <w:szCs w:val="36"/>
          <w:lang w:eastAsia="zh-CN"/>
        </w:rPr>
        <w:t>》</w:t>
      </w:r>
      <w:r>
        <w:rPr>
          <w:rFonts w:hint="eastAsia" w:ascii="方正小标宋_GBK" w:hAnsi="方正小标宋简体" w:eastAsia="方正小标宋_GBK" w:cs="方正小标宋简体"/>
          <w:sz w:val="36"/>
          <w:szCs w:val="36"/>
          <w:lang w:val="en-US" w:eastAsia="zh-CN"/>
        </w:rPr>
        <w:t xml:space="preserve">       主要任务工作分工</w:t>
      </w:r>
    </w:p>
    <w:p>
      <w:pPr>
        <w:pStyle w:val="2"/>
        <w:spacing w:line="580" w:lineRule="exact"/>
        <w:ind w:left="0"/>
        <w:jc w:val="both"/>
        <w:rPr>
          <w:kern w:val="44"/>
          <w:sz w:val="21"/>
          <w:szCs w:val="21"/>
          <w:lang w:val="en-US"/>
        </w:rPr>
      </w:pPr>
    </w:p>
    <w:p>
      <w:pPr>
        <w:pStyle w:val="3"/>
        <w:spacing w:line="580" w:lineRule="exact"/>
        <w:ind w:firstLine="640"/>
        <w:rPr>
          <w:rFonts w:ascii="仿宋_GB2312" w:hAnsi="仿宋_GB2312" w:eastAsia="仿宋_GB2312" w:cs="仿宋_GB2312"/>
          <w:szCs w:val="32"/>
        </w:rPr>
      </w:pPr>
      <w:bookmarkStart w:id="0" w:name="一、“十三五”时期的发展成就"/>
      <w:bookmarkEnd w:id="0"/>
      <w:bookmarkStart w:id="1" w:name="_bookmark1"/>
      <w:bookmarkEnd w:id="1"/>
      <w:bookmarkStart w:id="2" w:name="_Toc68549991"/>
      <w:r>
        <w:rPr>
          <w:rFonts w:hint="eastAsia" w:ascii="仿宋_GB2312" w:hAnsi="仿宋_GB2312" w:eastAsia="仿宋_GB2312" w:cs="仿宋_GB2312"/>
          <w:szCs w:val="32"/>
        </w:rPr>
        <w:t>“十四五”时期是滨海新区由全面建成高质量小康社会向建设生态、智慧、港产城融合的现代化海滨新城迈进的关键时期。为深入实施国家知识产权战略，全面提升滨海新区知识产权综合实力，强力支撑“津城”“滨城”双城格局建设，根据《天津市滨海新区国民经济和社会发展第十四个五年规划和二○三五年远景目标纲要》《天津市知识产权“十四五”规划》，科学编制本规划。本规划是未来五年滨海新区知识产权工作的主要依据。</w:t>
      </w:r>
    </w:p>
    <w:p>
      <w:pPr>
        <w:pStyle w:val="3"/>
        <w:spacing w:beforeLines="50" w:afterLines="50" w:line="580" w:lineRule="exact"/>
        <w:ind w:firstLine="640"/>
        <w:rPr>
          <w:rFonts w:ascii="黑体" w:hAnsi="黑体" w:cs="黑体"/>
        </w:rPr>
      </w:pPr>
      <w:r>
        <w:rPr>
          <w:rFonts w:hint="eastAsia" w:ascii="黑体" w:hAnsi="黑体" w:cs="黑体"/>
        </w:rPr>
        <w:t>一、“十三五”发展回顾</w:t>
      </w:r>
      <w:bookmarkEnd w:id="2"/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3" w:name="_Toc68549992"/>
      <w:r>
        <w:rPr>
          <w:rFonts w:hint="eastAsia" w:ascii="楷体" w:hAnsi="楷体" w:eastAsia="楷体" w:cs="楷体"/>
          <w:szCs w:val="32"/>
        </w:rPr>
        <w:t>（一）主要成效</w:t>
      </w:r>
      <w:bookmarkEnd w:id="3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hint="eastAsia" w:hAnsi="Times New Roman" w:cs="Times New Roman"/>
          <w:sz w:val="32"/>
          <w:szCs w:val="32"/>
        </w:rPr>
        <w:t>“十三五”</w:t>
      </w:r>
      <w:r>
        <w:rPr>
          <w:rFonts w:ascii="Times New Roman" w:hAnsi="Times New Roman" w:cs="Times New Roman"/>
          <w:sz w:val="32"/>
          <w:szCs w:val="32"/>
        </w:rPr>
        <w:t>期间，滨海新区在区委、区政府的领导下，深入贯彻国家和天津市知识产权战略，着力建设国家知识产权示范城区，在知识产权创造、保护、运用、</w:t>
      </w:r>
      <w:r>
        <w:rPr>
          <w:rFonts w:hint="eastAsia" w:ascii="Times New Roman" w:hAnsi="Times New Roman" w:cs="Times New Roman"/>
          <w:sz w:val="32"/>
          <w:szCs w:val="32"/>
        </w:rPr>
        <w:t>管理</w:t>
      </w:r>
      <w:r>
        <w:rPr>
          <w:rFonts w:ascii="Times New Roman" w:hAnsi="Times New Roman" w:cs="Times New Roman"/>
          <w:sz w:val="32"/>
          <w:szCs w:val="32"/>
        </w:rPr>
        <w:t>和服务等方面取得显著成效</w:t>
      </w:r>
      <w:bookmarkStart w:id="4" w:name="_Toc40280469"/>
      <w:bookmarkEnd w:id="4"/>
      <w:bookmarkStart w:id="5" w:name="_Toc22505"/>
      <w:bookmarkEnd w:id="5"/>
      <w:bookmarkStart w:id="6" w:name="_Toc30453"/>
      <w:bookmarkEnd w:id="6"/>
      <w:bookmarkStart w:id="7" w:name="_Toc40275891"/>
      <w:bookmarkEnd w:id="7"/>
      <w:bookmarkStart w:id="8" w:name="_Toc23403"/>
      <w:bookmarkEnd w:id="8"/>
      <w:bookmarkStart w:id="9" w:name="_Toc2910"/>
      <w:bookmarkEnd w:id="9"/>
      <w:bookmarkStart w:id="10" w:name="_Toc7427"/>
      <w:bookmarkEnd w:id="10"/>
      <w:bookmarkStart w:id="11" w:name="_Toc40270279"/>
      <w:bookmarkEnd w:id="11"/>
      <w:bookmarkStart w:id="12" w:name="_Toc514425466"/>
      <w:bookmarkEnd w:id="12"/>
      <w:r>
        <w:rPr>
          <w:rFonts w:ascii="Times New Roman" w:hAnsi="Times New Roman" w:cs="Times New Roman"/>
          <w:sz w:val="32"/>
          <w:szCs w:val="32"/>
        </w:rPr>
        <w:t>。强化知识产权创造量质齐升，有效支撑经济社会发展；实施知识产权严格保护制度，着力打造天津知识产权保护高地；充分释放知识产权运用效益，全面助推经济提质增效；提升知识产权管理与服务能力，深入夯实知识产权发展基础。滨海新区知识产权综合实力稳居全市首位。</w:t>
      </w:r>
    </w:p>
    <w:p>
      <w:pPr>
        <w:spacing w:line="580" w:lineRule="exact"/>
        <w:ind w:firstLine="643" w:firstLineChars="200"/>
        <w:jc w:val="both"/>
        <w:rPr>
          <w:rFonts w:ascii="Times New Roman" w:hAnsi="Times New Roman" w:cs="Times New Roman"/>
          <w:sz w:val="32"/>
          <w:szCs w:val="32"/>
        </w:rPr>
      </w:pPr>
      <w:bookmarkStart w:id="13" w:name="_Toc40275892"/>
      <w:bookmarkStart w:id="14" w:name="_Toc23068"/>
      <w:bookmarkStart w:id="15" w:name="_Toc40280470"/>
      <w:bookmarkStart w:id="16" w:name="_Toc40270280"/>
      <w:bookmarkStart w:id="17" w:name="_Toc13792"/>
      <w:bookmarkStart w:id="18" w:name="_Toc12770"/>
      <w:bookmarkStart w:id="19" w:name="_Toc7565"/>
      <w:bookmarkStart w:id="20" w:name="_Toc27018"/>
      <w:bookmarkStart w:id="21" w:name="_Toc514425467"/>
      <w:r>
        <w:rPr>
          <w:rFonts w:ascii="Times New Roman" w:hAnsi="Times New Roman" w:cs="Times New Roman"/>
          <w:b/>
          <w:sz w:val="32"/>
          <w:szCs w:val="32"/>
        </w:rPr>
        <w:t>知识产权创造能力持续提升，创造水平再创新高。</w:t>
      </w:r>
      <w:r>
        <w:rPr>
          <w:rFonts w:ascii="Times New Roman" w:hAnsi="Times New Roman" w:cs="Times New Roman"/>
          <w:sz w:val="32"/>
          <w:szCs w:val="32"/>
        </w:rPr>
        <w:t>建设国家中小企业知识产权战略推进工程试点</w:t>
      </w:r>
      <w:r>
        <w:rPr>
          <w:rFonts w:ascii="Times New Roman" w:hAnsi="Times New Roman" w:eastAsia="楷体_GB2312" w:cs="Times New Roman"/>
          <w:b/>
          <w:sz w:val="32"/>
          <w:szCs w:val="32"/>
        </w:rPr>
        <w:t>，</w:t>
      </w:r>
      <w:r>
        <w:rPr>
          <w:rFonts w:ascii="Times New Roman" w:hAnsi="Times New Roman" w:cs="Times New Roman"/>
          <w:sz w:val="32"/>
          <w:szCs w:val="32"/>
        </w:rPr>
        <w:t>实施专利强企工程。滨海新区累计实现545</w:t>
      </w:r>
      <w:r>
        <w:rPr>
          <w:rFonts w:ascii="Times New Roman" w:hAnsi="Times New Roman" w:cs="Times New Roman"/>
          <w:color w:val="000000"/>
          <w:sz w:val="32"/>
          <w:szCs w:val="32"/>
        </w:rPr>
        <w:t>家</w:t>
      </w:r>
      <w:r>
        <w:rPr>
          <w:rFonts w:ascii="Times New Roman" w:hAnsi="Times New Roman" w:cs="Times New Roman"/>
          <w:sz w:val="32"/>
          <w:szCs w:val="32"/>
        </w:rPr>
        <w:t>企业转型升级，完成</w:t>
      </w:r>
      <w:r>
        <w:rPr>
          <w:rFonts w:ascii="Times New Roman" w:hAnsi="Times New Roman" w:cs="Times New Roman"/>
          <w:color w:val="000000"/>
          <w:sz w:val="32"/>
          <w:szCs w:val="32"/>
        </w:rPr>
        <w:t>613家企业</w:t>
      </w:r>
      <w:r>
        <w:rPr>
          <w:rFonts w:ascii="Times New Roman" w:hAnsi="Times New Roman" w:cs="Times New Roman"/>
          <w:sz w:val="32"/>
          <w:szCs w:val="32"/>
        </w:rPr>
        <w:t>知识产权贯标认证工作。推动科技企业技术优势转化为知识产权优势，形成了多个专利密集型企业集群。</w:t>
      </w:r>
      <w:bookmarkStart w:id="22" w:name="_Toc526783566"/>
      <w:bookmarkStart w:id="23" w:name="_Toc8204786"/>
      <w:bookmarkStart w:id="24" w:name="_Toc527014116"/>
      <w:bookmarkStart w:id="25" w:name="_Toc8324281"/>
      <w:bookmarkStart w:id="26" w:name="_Toc8217642"/>
      <w:r>
        <w:rPr>
          <w:rFonts w:ascii="Times New Roman" w:hAnsi="Times New Roman" w:cs="Times New Roman"/>
          <w:sz w:val="32"/>
          <w:szCs w:val="32"/>
        </w:rPr>
        <w:t>拥有38家国家知识产权示范优势企业、340家市级专利示范优势企业；拥有1个国家级商标战略示范区、2个市级商标战略示范区、1家国家级商标战略示范企业、4家市级商标战略示范企业。</w:t>
      </w:r>
      <w:bookmarkEnd w:id="22"/>
      <w:bookmarkEnd w:id="23"/>
      <w:bookmarkEnd w:id="24"/>
      <w:bookmarkEnd w:id="25"/>
      <w:bookmarkEnd w:id="26"/>
      <w:bookmarkStart w:id="27" w:name="_Toc8217643"/>
      <w:bookmarkStart w:id="28" w:name="_Toc8204787"/>
      <w:bookmarkStart w:id="29" w:name="_Toc40275894"/>
      <w:bookmarkStart w:id="30" w:name="_Toc23191"/>
      <w:bookmarkStart w:id="31" w:name="_Toc526783567"/>
      <w:bookmarkStart w:id="32" w:name="_Toc527014117"/>
      <w:bookmarkStart w:id="33" w:name="_Toc40270282"/>
      <w:bookmarkStart w:id="34" w:name="_Toc8324282"/>
      <w:bookmarkStart w:id="35" w:name="_Toc40280472"/>
      <w:r>
        <w:rPr>
          <w:rFonts w:ascii="Times New Roman" w:hAnsi="Times New Roman" w:cs="Times New Roman"/>
          <w:sz w:val="32"/>
          <w:szCs w:val="32"/>
        </w:rPr>
        <w:t>2020年，滨海新区有效专利总量达到72350件，占全市29.5%，比2015年增长99.9%；有效注册商标总量达到8.8万件，占全市30.4%，比2015年增长83.1%；每万人口发明专利拥有量达到36.0件，比2015年提高69.0%；中国驰名商标达到33件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Times New Roman" w:hAnsi="Times New Roman" w:cs="Times New Roman"/>
          <w:sz w:val="32"/>
          <w:szCs w:val="32"/>
        </w:rPr>
        <w:t>。</w:t>
      </w:r>
    </w:p>
    <w:p>
      <w:pPr>
        <w:adjustRightInd w:val="0"/>
        <w:snapToGrid w:val="0"/>
        <w:spacing w:line="580" w:lineRule="exact"/>
        <w:ind w:firstLine="643" w:firstLineChars="200"/>
        <w:jc w:val="both"/>
        <w:rPr>
          <w:rFonts w:ascii="Times New Roman" w:hAnsi="Times New Roman" w:cs="Times New Roman"/>
          <w:color w:val="000000"/>
          <w:sz w:val="32"/>
        </w:rPr>
      </w:pPr>
      <w:r>
        <w:rPr>
          <w:rFonts w:ascii="Times New Roman" w:hAnsi="Times New Roman" w:cs="Times New Roman"/>
          <w:b/>
          <w:sz w:val="32"/>
          <w:szCs w:val="32"/>
        </w:rPr>
        <w:t>知识产权保护体系逐步健全，保护环境显著优化。</w:t>
      </w:r>
      <w:r>
        <w:rPr>
          <w:rFonts w:ascii="Times New Roman" w:hAnsi="Times New Roman" w:cs="Times New Roman"/>
          <w:sz w:val="32"/>
          <w:szCs w:val="32"/>
        </w:rPr>
        <w:t>建成中国（滨海新区）知识产权保护中心，打通了滨海新区专利快速预审、快速确权和快速维权的绿色通道，</w:t>
      </w:r>
      <w:r>
        <w:rPr>
          <w:rFonts w:ascii="Times New Roman" w:hAnsi="Times New Roman" w:cs="Times New Roman"/>
          <w:color w:val="000000"/>
          <w:sz w:val="32"/>
          <w:szCs w:val="32"/>
        </w:rPr>
        <w:t>累计受理专利预审1452件、审结1439件，预审合格843件、获得授权634件。</w:t>
      </w:r>
      <w:r>
        <w:rPr>
          <w:rFonts w:ascii="Times New Roman" w:hAnsi="Times New Roman" w:cs="Times New Roman"/>
          <w:sz w:val="32"/>
          <w:szCs w:val="32"/>
        </w:rPr>
        <w:t>建立健全知识产权保护体系，推动各部门协同开展知识产权执法维权，着力建设滨海新区“严保护、大保护、快保护、同保护”格局。成立天津仲裁委</w:t>
      </w:r>
      <w:r>
        <w:rPr>
          <w:rFonts w:hint="eastAsia" w:ascii="Times New Roman" w:hAnsi="Times New Roman" w:cs="Times New Roman"/>
          <w:sz w:val="32"/>
          <w:szCs w:val="32"/>
          <w:lang w:val="en-US"/>
        </w:rPr>
        <w:t>员会</w:t>
      </w:r>
      <w:r>
        <w:rPr>
          <w:rFonts w:ascii="Times New Roman" w:hAnsi="Times New Roman" w:cs="Times New Roman"/>
          <w:sz w:val="32"/>
          <w:szCs w:val="32"/>
        </w:rPr>
        <w:t>知识产权国际仲裁中心和中国（滨海新区）知识产权保护中心人民调解委员会，建立知识产权纠纷解决机制。开展知识产权执法维权行动，结合</w:t>
      </w:r>
      <w:r>
        <w:rPr>
          <w:rFonts w:hint="eastAsia" w:hAnsi="Times New Roman" w:cs="Times New Roman"/>
          <w:sz w:val="32"/>
          <w:szCs w:val="32"/>
        </w:rPr>
        <w:t>“铁拳”“昆仑”“剑网”</w:t>
      </w:r>
      <w:r>
        <w:rPr>
          <w:rFonts w:ascii="Times New Roman" w:hAnsi="Times New Roman" w:cs="Times New Roman"/>
          <w:sz w:val="32"/>
          <w:szCs w:val="32"/>
        </w:rPr>
        <w:t>等专项行动，严厉打击侵犯知识产权行为。</w:t>
      </w:r>
      <w:r>
        <w:rPr>
          <w:rFonts w:ascii="Times New Roman" w:hAnsi="Times New Roman" w:cs="Times New Roman"/>
          <w:color w:val="000000"/>
          <w:sz w:val="32"/>
          <w:szCs w:val="32"/>
        </w:rPr>
        <w:t>不断强化新技术应用和新业态的知识产权保</w:t>
      </w:r>
      <w:r>
        <w:rPr>
          <w:rFonts w:ascii="Times New Roman" w:hAnsi="Times New Roman" w:cs="Times New Roman"/>
          <w:color w:val="000000"/>
          <w:sz w:val="32"/>
        </w:rPr>
        <w:t>护，严格查处展会侵权纠纷案件。</w:t>
      </w:r>
    </w:p>
    <w:p>
      <w:pPr>
        <w:spacing w:line="580" w:lineRule="exact"/>
        <w:ind w:firstLine="643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知识产权运营能力明显增强，运用效益强势领先。</w:t>
      </w:r>
      <w:bookmarkStart w:id="36" w:name="_Toc527014118"/>
      <w:bookmarkStart w:id="37" w:name="_Toc526783568"/>
      <w:bookmarkStart w:id="38" w:name="_Toc8217644"/>
      <w:bookmarkStart w:id="39" w:name="_Toc8204788"/>
      <w:bookmarkStart w:id="40" w:name="_Toc8324283"/>
      <w:r>
        <w:rPr>
          <w:rFonts w:ascii="Times New Roman" w:hAnsi="Times New Roman" w:cs="Times New Roman"/>
          <w:sz w:val="32"/>
          <w:szCs w:val="32"/>
        </w:rPr>
        <w:t>推进国家知识产权运营服务体系试点建设，出台</w:t>
      </w:r>
      <w:r>
        <w:rPr>
          <w:rFonts w:ascii="Times New Roman" w:hAnsi="Times New Roman" w:cs="Times New Roman"/>
          <w:color w:val="000000"/>
          <w:sz w:val="32"/>
          <w:szCs w:val="32"/>
        </w:rPr>
        <w:t>《天津市滨海新区知识产权运营服务体系建设实施方案（2020-2023）》《天津市滨海新区知识产权运营服务体系建设专项资金管理办法》</w:t>
      </w:r>
      <w:r>
        <w:rPr>
          <w:rFonts w:ascii="Times New Roman" w:hAnsi="Times New Roman" w:cs="Times New Roman"/>
          <w:sz w:val="32"/>
          <w:szCs w:val="32"/>
        </w:rPr>
        <w:t>。</w:t>
      </w:r>
      <w:r>
        <w:rPr>
          <w:rFonts w:ascii="Times New Roman" w:hAnsi="Times New Roman" w:cs="Times New Roman"/>
          <w:kern w:val="2"/>
          <w:sz w:val="32"/>
          <w:szCs w:val="32"/>
        </w:rPr>
        <w:t>建设国家知识产权投融资试点城区，推进滨海新区知识产权产业化、许可交易、质押融资，推动设立知识产权风险补偿资金。组织滨海新区企业与银行融资年度对接会、企业与中科院专利技术年度对接会。</w:t>
      </w:r>
      <w:r>
        <w:rPr>
          <w:rFonts w:ascii="Times New Roman" w:hAnsi="Times New Roman" w:cs="Times New Roman"/>
          <w:color w:val="000000"/>
          <w:sz w:val="32"/>
          <w:szCs w:val="32"/>
        </w:rPr>
        <w:t>2020年，滨海新区实现技术合同登记额</w:t>
      </w:r>
      <w:r>
        <w:rPr>
          <w:rFonts w:ascii="Times New Roman" w:hAnsi="Times New Roman" w:cs="Times New Roman"/>
          <w:sz w:val="32"/>
          <w:szCs w:val="32"/>
        </w:rPr>
        <w:t>372.2</w:t>
      </w:r>
      <w:r>
        <w:rPr>
          <w:rFonts w:ascii="Times New Roman" w:hAnsi="Times New Roman" w:cs="Times New Roman"/>
          <w:color w:val="000000"/>
          <w:sz w:val="32"/>
          <w:szCs w:val="32"/>
        </w:rPr>
        <w:t>亿元，</w:t>
      </w:r>
      <w:r>
        <w:rPr>
          <w:rFonts w:ascii="Times New Roman" w:hAnsi="Times New Roman" w:cs="Times New Roman"/>
          <w:sz w:val="32"/>
          <w:szCs w:val="32"/>
        </w:rPr>
        <w:t>占全市35.3%，</w:t>
      </w:r>
      <w:r>
        <w:rPr>
          <w:rFonts w:ascii="Times New Roman" w:hAnsi="Times New Roman" w:cs="Times New Roman"/>
          <w:color w:val="000000"/>
          <w:sz w:val="32"/>
          <w:szCs w:val="32"/>
        </w:rPr>
        <w:t>比2015年增长</w:t>
      </w:r>
      <w:r>
        <w:rPr>
          <w:rFonts w:ascii="Times New Roman" w:hAnsi="Times New Roman" w:cs="Times New Roman"/>
          <w:sz w:val="32"/>
          <w:szCs w:val="32"/>
        </w:rPr>
        <w:t>62.2%；完成知识产权质押融资金额17.2亿元，占全市89.8%，</w:t>
      </w:r>
      <w:r>
        <w:rPr>
          <w:rFonts w:ascii="Times New Roman" w:hAnsi="Times New Roman" w:cs="Times New Roman"/>
          <w:color w:val="000000"/>
          <w:sz w:val="32"/>
          <w:szCs w:val="32"/>
        </w:rPr>
        <w:t>比2015年增长</w:t>
      </w:r>
      <w:r>
        <w:rPr>
          <w:rFonts w:ascii="Times New Roman" w:hAnsi="Times New Roman" w:cs="Times New Roman"/>
          <w:sz w:val="32"/>
          <w:szCs w:val="32"/>
        </w:rPr>
        <w:t>109.5%</w:t>
      </w:r>
      <w:bookmarkEnd w:id="36"/>
      <w:bookmarkEnd w:id="37"/>
      <w:bookmarkEnd w:id="38"/>
      <w:bookmarkEnd w:id="39"/>
      <w:bookmarkEnd w:id="40"/>
      <w:r>
        <w:rPr>
          <w:rFonts w:ascii="Times New Roman" w:hAnsi="Times New Roman" w:cs="Times New Roman"/>
          <w:sz w:val="32"/>
          <w:szCs w:val="32"/>
        </w:rPr>
        <w:t>；获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天津市专利奖</w:t>
      </w:r>
      <w:r>
        <w:rPr>
          <w:rFonts w:ascii="Times New Roman" w:hAnsi="Times New Roman" w:cs="Times New Roman"/>
          <w:sz w:val="32"/>
          <w:szCs w:val="32"/>
        </w:rPr>
        <w:t>24项</w:t>
      </w:r>
      <w:r>
        <w:rPr>
          <w:rFonts w:ascii="Times New Roman" w:hAnsi="Times New Roman" w:cs="Times New Roman"/>
          <w:color w:val="000000"/>
          <w:sz w:val="32"/>
          <w:szCs w:val="32"/>
        </w:rPr>
        <w:t>，</w:t>
      </w:r>
      <w:r>
        <w:rPr>
          <w:rFonts w:ascii="Times New Roman" w:hAnsi="Times New Roman" w:cs="Times New Roman"/>
          <w:sz w:val="32"/>
          <w:szCs w:val="32"/>
        </w:rPr>
        <w:t>占全市</w:t>
      </w:r>
      <w:r>
        <w:rPr>
          <w:rFonts w:ascii="Times New Roman" w:hAnsi="Times New Roman" w:cs="Times New Roman"/>
          <w:color w:val="000000"/>
          <w:sz w:val="32"/>
          <w:szCs w:val="32"/>
        </w:rPr>
        <w:t>48</w:t>
      </w:r>
      <w:r>
        <w:rPr>
          <w:rFonts w:ascii="Times New Roman" w:hAnsi="Times New Roman" w:cs="Times New Roman"/>
          <w:sz w:val="32"/>
          <w:szCs w:val="32"/>
        </w:rPr>
        <w:t>%，</w:t>
      </w:r>
      <w:r>
        <w:rPr>
          <w:rFonts w:ascii="Times New Roman" w:hAnsi="Times New Roman" w:cs="Times New Roman"/>
          <w:color w:val="000000"/>
          <w:sz w:val="32"/>
          <w:szCs w:val="32"/>
        </w:rPr>
        <w:t>比2015年增长33.3%</w:t>
      </w:r>
      <w:r>
        <w:rPr>
          <w:rFonts w:ascii="Times New Roman" w:hAnsi="Times New Roman" w:cs="Times New Roman"/>
          <w:sz w:val="32"/>
          <w:szCs w:val="32"/>
        </w:rPr>
        <w:t>。</w:t>
      </w:r>
      <w:r>
        <w:rPr>
          <w:rFonts w:hint="eastAsia" w:hAnsi="Times New Roman" w:cs="Times New Roman"/>
          <w:sz w:val="32"/>
          <w:szCs w:val="32"/>
        </w:rPr>
        <w:t>“十三五”</w:t>
      </w:r>
      <w:r>
        <w:rPr>
          <w:rFonts w:ascii="Times New Roman" w:hAnsi="Times New Roman" w:cs="Times New Roman"/>
          <w:sz w:val="32"/>
          <w:szCs w:val="32"/>
        </w:rPr>
        <w:t>期间，累计获得中国专利优秀奖43项、外观设计优秀奖14项，天津市专利金奖51项、专利优秀奖138项。</w:t>
      </w:r>
    </w:p>
    <w:p>
      <w:pPr>
        <w:spacing w:line="580" w:lineRule="exact"/>
        <w:ind w:firstLine="643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知识产权体制机制改革不断深化，治理体系更加健全。</w:t>
      </w:r>
      <w:r>
        <w:rPr>
          <w:rFonts w:ascii="Times New Roman" w:hAnsi="Times New Roman" w:cs="Times New Roman"/>
          <w:sz w:val="32"/>
          <w:szCs w:val="32"/>
        </w:rPr>
        <w:t>按照国家体制改革部署，组建新的滨海新区市场监督管理局，加挂滨海新区知识产权局牌子。在天津自贸试验区试行专利、商标、版权</w:t>
      </w:r>
      <w:r>
        <w:rPr>
          <w:rFonts w:hint="eastAsia" w:hAnsi="Times New Roman" w:cs="Times New Roman"/>
          <w:sz w:val="32"/>
          <w:szCs w:val="32"/>
        </w:rPr>
        <w:t>“一窗通办”</w:t>
      </w:r>
      <w:r>
        <w:rPr>
          <w:rFonts w:ascii="Times New Roman" w:hAnsi="Times New Roman" w:cs="Times New Roman"/>
          <w:sz w:val="32"/>
          <w:szCs w:val="32"/>
        </w:rPr>
        <w:t>综合服务模式。出台《滨海新区国家知识产权示范城区建设工作方案》《滨海新区关于强化知识产权保护的实施意见》《滨海新区假冒专利行为举报奖励办法（试行）》《滨海新区开展知识产权证券化工作方案》，将知识产权工作纳入滨海新区绩效考核体系。</w:t>
      </w:r>
      <w:bookmarkEnd w:id="13"/>
      <w:bookmarkEnd w:id="14"/>
      <w:bookmarkEnd w:id="15"/>
      <w:bookmarkEnd w:id="16"/>
      <w:bookmarkStart w:id="41" w:name="_Toc40275898"/>
      <w:bookmarkStart w:id="42" w:name="_Toc40270286"/>
      <w:bookmarkStart w:id="43" w:name="_Toc4542"/>
      <w:bookmarkStart w:id="44" w:name="_Toc40280476"/>
      <w:r>
        <w:rPr>
          <w:rFonts w:ascii="Times New Roman" w:hAnsi="Times New Roman" w:cs="Times New Roman"/>
          <w:sz w:val="32"/>
          <w:szCs w:val="32"/>
        </w:rPr>
        <w:t>发布《天津市滨海新区知识产权发展指数与创新能力排行榜》，激励企事业单位知识产权创造活动。</w:t>
      </w:r>
    </w:p>
    <w:p>
      <w:pPr>
        <w:spacing w:line="580" w:lineRule="exact"/>
        <w:ind w:firstLine="643" w:firstLineChars="200"/>
        <w:jc w:val="both"/>
        <w:rPr>
          <w:rFonts w:ascii="Times New Roman" w:hAnsi="Times New Roman" w:eastAsia="楷体_GB2312" w:cs="Times New Roman"/>
          <w:b/>
          <w:kern w:val="2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知识产权服务便利化程度逐步提高</w:t>
      </w:r>
      <w:bookmarkEnd w:id="41"/>
      <w:bookmarkEnd w:id="42"/>
      <w:bookmarkEnd w:id="43"/>
      <w:bookmarkEnd w:id="44"/>
      <w:r>
        <w:rPr>
          <w:rFonts w:ascii="Times New Roman" w:hAnsi="Times New Roman" w:cs="Times New Roman"/>
          <w:b/>
          <w:sz w:val="32"/>
          <w:szCs w:val="32"/>
        </w:rPr>
        <w:t>，发展基础不断夯实。</w:t>
      </w:r>
      <w:r>
        <w:rPr>
          <w:rFonts w:ascii="Times New Roman" w:hAnsi="Times New Roman" w:cs="Times New Roman"/>
          <w:sz w:val="32"/>
          <w:szCs w:val="32"/>
        </w:rPr>
        <w:t>建成高新区国家知识产权服务业集聚发展试验园区，</w:t>
      </w:r>
      <w:r>
        <w:rPr>
          <w:rFonts w:ascii="Times New Roman" w:hAnsi="Times New Roman" w:cs="Times New Roman"/>
          <w:kern w:val="2"/>
          <w:sz w:val="32"/>
          <w:szCs w:val="32"/>
        </w:rPr>
        <w:t>聚集各类知识产权服务机构358家，服务涵盖知识产权代理、法律咨询、增值运营、投融资等，</w:t>
      </w:r>
      <w:r>
        <w:rPr>
          <w:rFonts w:ascii="Times New Roman" w:hAnsi="Times New Roman" w:cs="Times New Roman"/>
          <w:sz w:val="32"/>
          <w:szCs w:val="32"/>
        </w:rPr>
        <w:t>形成门类齐全的高水平知识产权服务业集聚地。建成两个国家商标受理窗口，受理商标注册申请、变更、使用许可、续展等24项业务。获批建设天津科技大学知识产权信息服务中心。</w:t>
      </w:r>
      <w:r>
        <w:rPr>
          <w:rFonts w:ascii="Times New Roman" w:hAnsi="Times New Roman" w:cs="Times New Roman"/>
          <w:kern w:val="2"/>
          <w:sz w:val="32"/>
          <w:szCs w:val="32"/>
        </w:rPr>
        <w:t>成立华北知识产权运营服务联盟。</w:t>
      </w:r>
    </w:p>
    <w:p>
      <w:pPr>
        <w:spacing w:line="580" w:lineRule="exact"/>
        <w:ind w:firstLine="643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知识产权文化活力不断迸发，创新意识逐步增强。</w:t>
      </w:r>
      <w:r>
        <w:rPr>
          <w:rFonts w:ascii="Times New Roman" w:hAnsi="Times New Roman" w:cs="Times New Roman"/>
          <w:sz w:val="32"/>
          <w:szCs w:val="32"/>
        </w:rPr>
        <w:t>开展</w:t>
      </w:r>
      <w:r>
        <w:rPr>
          <w:rFonts w:hint="eastAsia" w:hAnsi="Times New Roman" w:cs="Times New Roman"/>
          <w:sz w:val="32"/>
          <w:szCs w:val="32"/>
        </w:rPr>
        <w:t>“</w:t>
      </w:r>
      <w:r>
        <w:rPr>
          <w:rFonts w:ascii="Times New Roman" w:hAnsi="Times New Roman" w:cs="Times New Roman"/>
          <w:sz w:val="32"/>
          <w:szCs w:val="32"/>
        </w:rPr>
        <w:t>4·26</w:t>
      </w:r>
      <w:r>
        <w:rPr>
          <w:rFonts w:hint="eastAsia" w:hAnsi="Times New Roman" w:cs="Times New Roman"/>
          <w:sz w:val="32"/>
          <w:szCs w:val="32"/>
        </w:rPr>
        <w:t>”</w:t>
      </w:r>
      <w:r>
        <w:rPr>
          <w:rFonts w:ascii="Times New Roman" w:hAnsi="Times New Roman" w:cs="Times New Roman"/>
          <w:sz w:val="32"/>
          <w:szCs w:val="32"/>
        </w:rPr>
        <w:t>知识产权日、</w:t>
      </w:r>
      <w:r>
        <w:rPr>
          <w:rFonts w:hint="eastAsia" w:hAnsi="Times New Roman" w:cs="Times New Roman"/>
          <w:sz w:val="32"/>
          <w:szCs w:val="32"/>
        </w:rPr>
        <w:t>“</w:t>
      </w:r>
      <w:r>
        <w:rPr>
          <w:rFonts w:ascii="Times New Roman" w:hAnsi="Times New Roman" w:cs="Times New Roman"/>
          <w:sz w:val="32"/>
          <w:szCs w:val="32"/>
        </w:rPr>
        <w:t>5·10</w:t>
      </w:r>
      <w:r>
        <w:rPr>
          <w:rFonts w:hint="eastAsia" w:hAnsi="Times New Roman" w:cs="Times New Roman"/>
          <w:sz w:val="32"/>
          <w:szCs w:val="32"/>
        </w:rPr>
        <w:t>”</w:t>
      </w:r>
      <w:r>
        <w:rPr>
          <w:rFonts w:ascii="Times New Roman" w:hAnsi="Times New Roman" w:cs="Times New Roman"/>
          <w:sz w:val="32"/>
          <w:szCs w:val="32"/>
        </w:rPr>
        <w:t>品牌日、</w:t>
      </w:r>
      <w:r>
        <w:rPr>
          <w:rFonts w:ascii="Times New Roman" w:hAnsi="Times New Roman" w:cs="Times New Roman"/>
          <w:kern w:val="2"/>
          <w:sz w:val="32"/>
          <w:szCs w:val="32"/>
        </w:rPr>
        <w:t>专利周、</w:t>
      </w:r>
      <w:r>
        <w:rPr>
          <w:rFonts w:hint="eastAsia" w:hAnsi="Times New Roman" w:cs="Times New Roman"/>
          <w:kern w:val="2"/>
          <w:sz w:val="32"/>
          <w:szCs w:val="32"/>
        </w:rPr>
        <w:t>“</w:t>
      </w:r>
      <w:r>
        <w:rPr>
          <w:rFonts w:ascii="Times New Roman" w:hAnsi="Times New Roman" w:cs="Times New Roman"/>
          <w:kern w:val="2"/>
          <w:sz w:val="32"/>
          <w:szCs w:val="32"/>
        </w:rPr>
        <w:t>12·4</w:t>
      </w:r>
      <w:r>
        <w:rPr>
          <w:rFonts w:hint="eastAsia" w:hAnsi="Times New Roman" w:cs="Times New Roman"/>
          <w:kern w:val="2"/>
          <w:sz w:val="32"/>
          <w:szCs w:val="32"/>
        </w:rPr>
        <w:t>”法</w:t>
      </w:r>
      <w:r>
        <w:rPr>
          <w:rFonts w:ascii="Times New Roman" w:hAnsi="Times New Roman" w:cs="Times New Roman"/>
          <w:kern w:val="2"/>
          <w:sz w:val="32"/>
          <w:szCs w:val="32"/>
        </w:rPr>
        <w:t>制宣传日等宣传活动。针对科技企业、服务机构和众创空间，组织举办多层次多系列专业培训，受训人员超4200人次，培养大批知识产权专业人才。滨海新区汉沽第九中学获批全国</w:t>
      </w:r>
      <w:r>
        <w:rPr>
          <w:rFonts w:ascii="Times New Roman" w:hAnsi="Times New Roman" w:cs="Times New Roman"/>
          <w:sz w:val="32"/>
          <w:szCs w:val="32"/>
        </w:rPr>
        <w:t>首批中小学知识产权教育示范学校，塘沽一中心小学被评为天津市青少年知识产权教育示范学校。开展</w:t>
      </w:r>
      <w:r>
        <w:rPr>
          <w:rFonts w:hint="eastAsia" w:hAnsi="Times New Roman" w:cs="Times New Roman"/>
          <w:sz w:val="32"/>
          <w:szCs w:val="32"/>
        </w:rPr>
        <w:t>“知识产权创新创业发明与设计大赛”</w:t>
      </w:r>
      <w:r>
        <w:rPr>
          <w:rFonts w:ascii="Times New Roman" w:hAnsi="Times New Roman" w:cs="Times New Roman"/>
          <w:sz w:val="32"/>
          <w:szCs w:val="32"/>
        </w:rPr>
        <w:t>系列活动，累计吸引知识产权创新创业参赛项目3500个。</w:t>
      </w:r>
      <w:bookmarkEnd w:id="17"/>
      <w:bookmarkEnd w:id="18"/>
      <w:bookmarkEnd w:id="19"/>
      <w:bookmarkEnd w:id="20"/>
      <w:bookmarkEnd w:id="21"/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45" w:name="_Toc68549993"/>
      <w:r>
        <w:rPr>
          <w:rFonts w:hint="eastAsia" w:ascii="楷体" w:hAnsi="楷体" w:eastAsia="楷体" w:cs="楷体"/>
          <w:szCs w:val="32"/>
        </w:rPr>
        <w:t>（二）存在问题</w:t>
      </w:r>
      <w:bookmarkEnd w:id="45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bookmarkStart w:id="46" w:name="二、“十四五”时期的发展环境"/>
      <w:bookmarkEnd w:id="46"/>
      <w:bookmarkStart w:id="47" w:name="_bookmark2"/>
      <w:bookmarkEnd w:id="47"/>
      <w:bookmarkStart w:id="48" w:name="_Toc443470528"/>
      <w:r>
        <w:rPr>
          <w:rFonts w:hint="eastAsia" w:hAnsi="Times New Roman" w:cs="Times New Roman"/>
          <w:color w:val="000000"/>
          <w:sz w:val="32"/>
          <w:szCs w:val="32"/>
        </w:rPr>
        <w:t>“十三五”</w:t>
      </w:r>
      <w:r>
        <w:rPr>
          <w:rFonts w:ascii="Times New Roman" w:hAnsi="Times New Roman" w:cs="Times New Roman"/>
          <w:color w:val="000000"/>
          <w:sz w:val="32"/>
          <w:szCs w:val="32"/>
        </w:rPr>
        <w:t>期间，滨海新区知识产权工作取得一定的成效，但与国内先进地区以及滨海新区经济、科技发展需求相比，仍存在一定不足。主要表现在：一是知识产权发展质量尚需提升，有效专利类别结构</w:t>
      </w:r>
      <w:r>
        <w:rPr>
          <w:rFonts w:ascii="Times New Roman" w:hAnsi="Times New Roman" w:cs="Times New Roman"/>
          <w:sz w:val="32"/>
          <w:szCs w:val="32"/>
        </w:rPr>
        <w:t>还不够</w:t>
      </w:r>
      <w:r>
        <w:rPr>
          <w:rFonts w:ascii="Times New Roman" w:hAnsi="Times New Roman" w:cs="Times New Roman"/>
          <w:color w:val="000000"/>
          <w:sz w:val="32"/>
          <w:szCs w:val="32"/>
        </w:rPr>
        <w:t>均衡</w:t>
      </w:r>
      <w:r>
        <w:rPr>
          <w:rFonts w:ascii="Times New Roman" w:hAnsi="Times New Roman" w:cs="Times New Roman"/>
          <w:sz w:val="32"/>
          <w:szCs w:val="32"/>
        </w:rPr>
        <w:t>，</w:t>
      </w:r>
      <w:r>
        <w:rPr>
          <w:rFonts w:ascii="Times New Roman" w:hAnsi="Times New Roman" w:cs="Times New Roman"/>
          <w:color w:val="000000"/>
          <w:sz w:val="32"/>
          <w:szCs w:val="32"/>
        </w:rPr>
        <w:t>发明专利占比偏低。二是</w:t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知识产权全链条保护格局尚待完善</w:t>
      </w:r>
      <w:r>
        <w:rPr>
          <w:rFonts w:ascii="Times New Roman" w:hAnsi="Times New Roman" w:cs="Times New Roman"/>
          <w:color w:val="000000"/>
          <w:sz w:val="32"/>
          <w:szCs w:val="32"/>
        </w:rPr>
        <w:t>，综合运用法律、行政、经济、技术、社会治理手段</w:t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的能力需要提升</w:t>
      </w:r>
      <w:r>
        <w:rPr>
          <w:rFonts w:ascii="Times New Roman" w:hAnsi="Times New Roman" w:cs="Times New Roman"/>
          <w:color w:val="000000"/>
          <w:sz w:val="32"/>
          <w:szCs w:val="32"/>
        </w:rPr>
        <w:t>。三是知识产权运用服务水平仍需提高，成果转化率偏低，质押融资形式单一，综合服务能力</w:t>
      </w:r>
      <w:r>
        <w:rPr>
          <w:rFonts w:ascii="Times New Roman" w:hAnsi="Times New Roman" w:cs="Times New Roman"/>
          <w:sz w:val="32"/>
          <w:szCs w:val="32"/>
        </w:rPr>
        <w:t>还</w:t>
      </w:r>
      <w:r>
        <w:rPr>
          <w:rFonts w:ascii="Times New Roman" w:hAnsi="Times New Roman" w:cs="Times New Roman"/>
          <w:color w:val="000000"/>
          <w:sz w:val="32"/>
          <w:szCs w:val="32"/>
        </w:rPr>
        <w:t>不够强。</w:t>
      </w:r>
    </w:p>
    <w:p>
      <w:pPr>
        <w:pStyle w:val="3"/>
        <w:spacing w:beforeLines="50" w:afterLines="50" w:line="580" w:lineRule="exact"/>
        <w:ind w:firstLine="640"/>
        <w:rPr>
          <w:rFonts w:ascii="黑体" w:hAnsi="黑体" w:cs="黑体"/>
        </w:rPr>
      </w:pPr>
      <w:bookmarkStart w:id="49" w:name="_Toc68549994"/>
      <w:r>
        <w:rPr>
          <w:rFonts w:hint="eastAsia" w:ascii="黑体" w:hAnsi="黑体" w:cs="黑体"/>
        </w:rPr>
        <w:t>二、“十四五”面临形势</w:t>
      </w:r>
      <w:bookmarkEnd w:id="48"/>
      <w:bookmarkEnd w:id="49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hint="eastAsia" w:hAnsi="Times New Roman" w:cs="Times New Roman"/>
          <w:color w:val="000000"/>
          <w:sz w:val="32"/>
          <w:szCs w:val="32"/>
        </w:rPr>
        <w:t>“十四五”</w:t>
      </w:r>
      <w:r>
        <w:rPr>
          <w:rFonts w:ascii="Times New Roman" w:hAnsi="Times New Roman" w:cs="Times New Roman"/>
          <w:color w:val="000000"/>
          <w:sz w:val="32"/>
          <w:szCs w:val="32"/>
        </w:rPr>
        <w:t>期间，滨海新区实施高质量发展战略，对知识产权治理能力和水平提出了更迫切的需求和更高的要求，滨海新区知识产权发展面临重大机遇和挑战。</w:t>
      </w:r>
      <w:bookmarkStart w:id="50" w:name="_Toc443470529"/>
      <w:bookmarkEnd w:id="50"/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51" w:name="_Toc10213071"/>
      <w:bookmarkStart w:id="52" w:name="_Toc11654025"/>
      <w:bookmarkStart w:id="53" w:name="_Toc68549995"/>
      <w:bookmarkStart w:id="54" w:name="_Toc443470532"/>
      <w:r>
        <w:rPr>
          <w:rFonts w:hint="eastAsia" w:ascii="楷体" w:hAnsi="楷体" w:eastAsia="楷体" w:cs="楷体"/>
          <w:szCs w:val="32"/>
        </w:rPr>
        <w:t>（一）</w:t>
      </w:r>
      <w:bookmarkEnd w:id="51"/>
      <w:bookmarkEnd w:id="52"/>
      <w:r>
        <w:rPr>
          <w:rFonts w:hint="eastAsia" w:ascii="楷体" w:hAnsi="楷体" w:eastAsia="楷体" w:cs="楷体"/>
          <w:szCs w:val="32"/>
        </w:rPr>
        <w:t>全球发展新变局对知识产权工作提出新挑战</w:t>
      </w:r>
      <w:bookmarkEnd w:id="53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0"/>
        </w:rPr>
      </w:pPr>
      <w:r>
        <w:rPr>
          <w:rFonts w:ascii="Times New Roman" w:hAnsi="Times New Roman" w:cs="Times New Roman"/>
          <w:sz w:val="32"/>
          <w:szCs w:val="30"/>
        </w:rPr>
        <w:t>当前世界处于百年未有之大变局，知识产权已经成为世界各国、各地区推动经济和贸易发展的核心要素和重要工具。滨海新区加快开发开放，</w:t>
      </w:r>
      <w:r>
        <w:rPr>
          <w:rFonts w:ascii="Times New Roman" w:hAnsi="Times New Roman" w:cs="Times New Roman"/>
          <w:sz w:val="32"/>
          <w:szCs w:val="32"/>
        </w:rPr>
        <w:t>充分发挥京津冀海上门户枢纽作用，深度融入</w:t>
      </w:r>
      <w:r>
        <w:rPr>
          <w:rFonts w:hint="eastAsia" w:hAnsi="Times New Roman" w:cs="Times New Roman"/>
          <w:sz w:val="32"/>
          <w:szCs w:val="32"/>
        </w:rPr>
        <w:t>“一带一路”</w:t>
      </w:r>
      <w:r>
        <w:rPr>
          <w:rFonts w:ascii="Times New Roman" w:hAnsi="Times New Roman" w:cs="Times New Roman"/>
          <w:sz w:val="32"/>
          <w:szCs w:val="32"/>
        </w:rPr>
        <w:t>建设</w:t>
      </w:r>
      <w:r>
        <w:rPr>
          <w:rFonts w:ascii="Times New Roman" w:hAnsi="Times New Roman" w:cs="Times New Roman"/>
          <w:sz w:val="32"/>
          <w:szCs w:val="30"/>
        </w:rPr>
        <w:t>，需要提升海外知识产权挖掘与布局能力、风险预警与应对效率。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55" w:name="_Toc64733362"/>
      <w:bookmarkStart w:id="56" w:name="_Toc64732637"/>
      <w:bookmarkStart w:id="57" w:name="_Toc68549996"/>
      <w:bookmarkStart w:id="58" w:name="_Toc11654027"/>
      <w:bookmarkStart w:id="59" w:name="_Toc10213073"/>
      <w:r>
        <w:rPr>
          <w:rFonts w:hint="eastAsia" w:ascii="楷体" w:hAnsi="楷体" w:eastAsia="楷体" w:cs="楷体"/>
          <w:szCs w:val="32"/>
        </w:rPr>
        <w:t>（二）国内发展新态势为知识产权工作带来新机遇</w:t>
      </w:r>
      <w:bookmarkEnd w:id="55"/>
      <w:bookmarkEnd w:id="56"/>
      <w:bookmarkEnd w:id="57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0"/>
        </w:rPr>
      </w:pPr>
      <w:r>
        <w:rPr>
          <w:rFonts w:ascii="Times New Roman" w:hAnsi="Times New Roman" w:cs="Times New Roman"/>
          <w:sz w:val="32"/>
          <w:szCs w:val="32"/>
        </w:rPr>
        <w:t>加强知识产权保护已经成为完善我国保护制度的最重要内容，成为提高我国竞争力的最大激励。</w:t>
      </w:r>
      <w:r>
        <w:rPr>
          <w:rFonts w:ascii="Times New Roman" w:hAnsi="Times New Roman" w:cs="Times New Roman"/>
          <w:sz w:val="32"/>
          <w:szCs w:val="30"/>
        </w:rPr>
        <w:t>新技术、新领域、新业态的不断创新对知识产权制度提出了严峻的挑战，维护知识产权</w:t>
      </w:r>
      <w:r>
        <w:rPr>
          <w:rFonts w:ascii="Times New Roman" w:hAnsi="Times New Roman" w:cs="Times New Roman"/>
          <w:sz w:val="32"/>
          <w:szCs w:val="30"/>
          <w:lang w:val="en-US"/>
        </w:rPr>
        <w:t>领域的国家</w:t>
      </w:r>
      <w:r>
        <w:rPr>
          <w:rFonts w:ascii="Times New Roman" w:hAnsi="Times New Roman" w:cs="Times New Roman"/>
          <w:sz w:val="32"/>
          <w:szCs w:val="30"/>
        </w:rPr>
        <w:t>安全已经成为保障科技经济安全与提高研发效能的重要举措。全面加强党对知识产权工作的领导，为滨海新区知识产权发展带来新机遇。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60" w:name="_Toc68549997"/>
      <w:bookmarkStart w:id="61" w:name="_Toc64732638"/>
      <w:bookmarkStart w:id="62" w:name="_Toc64733363"/>
      <w:r>
        <w:rPr>
          <w:rFonts w:hint="eastAsia" w:ascii="楷体" w:hAnsi="楷体" w:eastAsia="楷体" w:cs="楷体"/>
          <w:szCs w:val="32"/>
        </w:rPr>
        <w:t>（三）天津发展新格局对知识产权工作提出新要求</w:t>
      </w:r>
      <w:bookmarkEnd w:id="60"/>
      <w:bookmarkEnd w:id="61"/>
      <w:bookmarkEnd w:id="62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0"/>
        </w:rPr>
      </w:pPr>
      <w:r>
        <w:rPr>
          <w:rFonts w:ascii="Times New Roman" w:hAnsi="Times New Roman" w:cs="Times New Roman"/>
          <w:sz w:val="32"/>
          <w:szCs w:val="30"/>
        </w:rPr>
        <w:t>天津进入加快建设</w:t>
      </w:r>
      <w:r>
        <w:rPr>
          <w:rFonts w:hint="eastAsia" w:hAnsi="Times New Roman" w:cs="Times New Roman"/>
          <w:sz w:val="32"/>
          <w:szCs w:val="30"/>
        </w:rPr>
        <w:t>“一基地三区”和“津城”“滨城”</w:t>
      </w:r>
      <w:r>
        <w:rPr>
          <w:rFonts w:ascii="Times New Roman" w:hAnsi="Times New Roman" w:cs="Times New Roman"/>
          <w:sz w:val="32"/>
          <w:szCs w:val="30"/>
        </w:rPr>
        <w:t>双城发展格局的关键阶段，知识产权对</w:t>
      </w:r>
      <w:r>
        <w:rPr>
          <w:rFonts w:hint="eastAsia" w:hAnsi="Times New Roman" w:cs="Times New Roman"/>
          <w:sz w:val="32"/>
          <w:szCs w:val="30"/>
        </w:rPr>
        <w:t>“滨城”</w:t>
      </w:r>
      <w:r>
        <w:rPr>
          <w:rFonts w:ascii="Times New Roman" w:hAnsi="Times New Roman" w:cs="Times New Roman"/>
          <w:sz w:val="32"/>
          <w:szCs w:val="30"/>
        </w:rPr>
        <w:t>经济实力、科技实力、创新实力、文化软实力和综合竞争力的全面提升具有重要意义。同时，天津建设</w:t>
      </w:r>
      <w:r>
        <w:rPr>
          <w:rFonts w:ascii="Times New Roman" w:hAnsi="Times New Roman" w:cs="Times New Roman"/>
          <w:sz w:val="32"/>
          <w:szCs w:val="32"/>
          <w:lang w:val="en-US"/>
        </w:rPr>
        <w:t>国家知识产权运营服务体系</w:t>
      </w:r>
      <w:r>
        <w:rPr>
          <w:rFonts w:hint="eastAsia" w:hAnsi="Times New Roman" w:cs="Times New Roman"/>
          <w:sz w:val="32"/>
          <w:szCs w:val="32"/>
          <w:lang w:val="en-US"/>
        </w:rPr>
        <w:t>“双试点”</w:t>
      </w:r>
      <w:r>
        <w:rPr>
          <w:rFonts w:ascii="Times New Roman" w:hAnsi="Times New Roman" w:cs="Times New Roman"/>
          <w:sz w:val="32"/>
          <w:szCs w:val="32"/>
          <w:lang w:val="en-US"/>
        </w:rPr>
        <w:t>和知识产权保护中心</w:t>
      </w:r>
      <w:r>
        <w:rPr>
          <w:rFonts w:hint="eastAsia" w:hAnsi="Times New Roman" w:cs="Times New Roman"/>
          <w:sz w:val="32"/>
          <w:szCs w:val="32"/>
          <w:lang w:val="en-US"/>
        </w:rPr>
        <w:t>“双中心”</w:t>
      </w:r>
      <w:r>
        <w:rPr>
          <w:rFonts w:ascii="Times New Roman" w:hAnsi="Times New Roman" w:cs="Times New Roman"/>
          <w:sz w:val="32"/>
          <w:szCs w:val="30"/>
        </w:rPr>
        <w:t>，滨海新区兼具</w:t>
      </w:r>
      <w:r>
        <w:rPr>
          <w:rFonts w:hint="eastAsia" w:hAnsi="Times New Roman" w:cs="Times New Roman"/>
          <w:sz w:val="32"/>
          <w:szCs w:val="30"/>
        </w:rPr>
        <w:t>“试点”与“中心”</w:t>
      </w:r>
      <w:r>
        <w:rPr>
          <w:rFonts w:ascii="Times New Roman" w:hAnsi="Times New Roman" w:cs="Times New Roman"/>
          <w:sz w:val="32"/>
          <w:szCs w:val="30"/>
        </w:rPr>
        <w:t>双重任务，对知识产权工作提出更高要求。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63" w:name="_Toc68549998"/>
      <w:r>
        <w:rPr>
          <w:rFonts w:hint="eastAsia" w:ascii="楷体" w:hAnsi="楷体" w:eastAsia="楷体" w:cs="楷体"/>
          <w:szCs w:val="32"/>
        </w:rPr>
        <w:t>（四）</w:t>
      </w:r>
      <w:bookmarkEnd w:id="58"/>
      <w:bookmarkEnd w:id="59"/>
      <w:r>
        <w:rPr>
          <w:rFonts w:hint="eastAsia" w:ascii="楷体" w:hAnsi="楷体" w:eastAsia="楷体" w:cs="楷体"/>
          <w:szCs w:val="32"/>
        </w:rPr>
        <w:t>滨海新区新发展更需要知识产权提供新支撑</w:t>
      </w:r>
      <w:bookmarkEnd w:id="63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0"/>
        </w:rPr>
      </w:pPr>
      <w:r>
        <w:rPr>
          <w:rFonts w:ascii="Times New Roman" w:hAnsi="Times New Roman" w:cs="Times New Roman"/>
          <w:sz w:val="32"/>
          <w:szCs w:val="30"/>
        </w:rPr>
        <w:t>滨海新区经济高质量发展，需要知识产权的支撑和引领，尤其在</w:t>
      </w:r>
      <w:r>
        <w:rPr>
          <w:rFonts w:ascii="Times New Roman" w:hAnsi="Times New Roman" w:cs="Times New Roman"/>
          <w:sz w:val="32"/>
          <w:szCs w:val="30"/>
          <w:lang w:val="en-US"/>
        </w:rPr>
        <w:t>信创</w:t>
      </w:r>
      <w:r>
        <w:rPr>
          <w:rFonts w:ascii="Times New Roman" w:hAnsi="Times New Roman" w:cs="Times New Roman"/>
          <w:sz w:val="32"/>
          <w:szCs w:val="30"/>
        </w:rPr>
        <w:t>、智能科技、生物制造、新能源、新材料、大数据等产业领域，关键技术和</w:t>
      </w:r>
      <w:r>
        <w:rPr>
          <w:rFonts w:hint="eastAsia" w:hAnsi="Times New Roman" w:cs="Times New Roman"/>
          <w:sz w:val="32"/>
          <w:szCs w:val="30"/>
        </w:rPr>
        <w:t>“卡脖子”</w:t>
      </w:r>
      <w:r>
        <w:rPr>
          <w:rFonts w:ascii="Times New Roman" w:hAnsi="Times New Roman" w:cs="Times New Roman"/>
          <w:sz w:val="32"/>
          <w:szCs w:val="30"/>
        </w:rPr>
        <w:t>技术的研发</w:t>
      </w:r>
      <w:r>
        <w:rPr>
          <w:rFonts w:ascii="Times New Roman" w:hAnsi="Times New Roman" w:cs="Times New Roman"/>
          <w:sz w:val="32"/>
          <w:szCs w:val="30"/>
          <w:lang w:val="en-US"/>
        </w:rPr>
        <w:t>是实现自主可控的必经之路</w:t>
      </w:r>
      <w:r>
        <w:rPr>
          <w:rFonts w:ascii="Times New Roman" w:hAnsi="Times New Roman" w:cs="Times New Roman"/>
          <w:sz w:val="32"/>
          <w:szCs w:val="30"/>
        </w:rPr>
        <w:t>，对知识产权的需求更大、更迫切，要求知识产权</w:t>
      </w:r>
      <w:r>
        <w:rPr>
          <w:rFonts w:ascii="Times New Roman" w:hAnsi="Times New Roman" w:cs="Times New Roman"/>
          <w:sz w:val="32"/>
          <w:szCs w:val="30"/>
          <w:lang w:val="en-US"/>
        </w:rPr>
        <w:t>为引育发展新动能注入新动力</w:t>
      </w:r>
      <w:r>
        <w:rPr>
          <w:rFonts w:ascii="Times New Roman" w:hAnsi="Times New Roman" w:cs="Times New Roman"/>
          <w:sz w:val="32"/>
          <w:szCs w:val="30"/>
        </w:rPr>
        <w:t>。</w:t>
      </w:r>
    </w:p>
    <w:p>
      <w:pPr>
        <w:pStyle w:val="3"/>
        <w:spacing w:beforeLines="50" w:afterLines="50" w:line="580" w:lineRule="exact"/>
        <w:ind w:firstLine="640"/>
      </w:pPr>
      <w:bookmarkStart w:id="64" w:name="_Toc68549999"/>
      <w:r>
        <w:t>三、指导思想、基本原则和发展目标</w:t>
      </w:r>
      <w:bookmarkEnd w:id="54"/>
      <w:bookmarkEnd w:id="64"/>
      <w:bookmarkStart w:id="65" w:name="_Toc443470533"/>
      <w:bookmarkEnd w:id="65"/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66" w:name="_Toc68550000"/>
      <w:r>
        <w:rPr>
          <w:rFonts w:hint="eastAsia" w:ascii="楷体" w:hAnsi="楷体" w:eastAsia="楷体" w:cs="楷体"/>
          <w:szCs w:val="32"/>
        </w:rPr>
        <w:t>（一）指导思想</w:t>
      </w:r>
      <w:bookmarkEnd w:id="66"/>
    </w:p>
    <w:p>
      <w:pPr>
        <w:spacing w:line="580" w:lineRule="exact"/>
        <w:ind w:firstLine="63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以习近平新时代中国特色社会主义思想为指导，深入贯彻党的十九大和十九届二中、三中、四中、五中全会精神，习近平总书记在</w:t>
      </w:r>
      <w:r>
        <w:rPr>
          <w:rFonts w:ascii="Times New Roman" w:hAnsi="Times New Roman" w:cs="Times New Roman"/>
          <w:sz w:val="32"/>
          <w:szCs w:val="32"/>
          <w:lang w:val="en-US"/>
        </w:rPr>
        <w:t>中央政治局第</w:t>
      </w:r>
      <w:r>
        <w:rPr>
          <w:rFonts w:ascii="Times New Roman" w:hAnsi="Times New Roman" w:cs="Times New Roman"/>
          <w:sz w:val="32"/>
          <w:szCs w:val="32"/>
        </w:rPr>
        <w:t>二十五</w:t>
      </w:r>
      <w:r>
        <w:rPr>
          <w:rFonts w:ascii="Times New Roman" w:hAnsi="Times New Roman" w:cs="Times New Roman"/>
          <w:sz w:val="32"/>
          <w:szCs w:val="32"/>
          <w:lang w:val="en-US"/>
        </w:rPr>
        <w:t>次集体学习时的</w:t>
      </w:r>
      <w:r>
        <w:rPr>
          <w:rFonts w:ascii="Times New Roman" w:hAnsi="Times New Roman" w:cs="Times New Roman"/>
          <w:sz w:val="32"/>
          <w:szCs w:val="32"/>
        </w:rPr>
        <w:t>重要讲话精神，以及对天津提出的</w:t>
      </w:r>
      <w:r>
        <w:rPr>
          <w:rFonts w:hint="eastAsia" w:hAnsi="Times New Roman" w:cs="Times New Roman"/>
          <w:sz w:val="32"/>
          <w:szCs w:val="32"/>
        </w:rPr>
        <w:t>“三个着力”</w:t>
      </w:r>
      <w:r>
        <w:rPr>
          <w:rFonts w:ascii="Times New Roman" w:hAnsi="Times New Roman" w:cs="Times New Roman"/>
          <w:sz w:val="32"/>
          <w:szCs w:val="32"/>
        </w:rPr>
        <w:t>重要要求和一系列重要指示批示精神，以深化知识产权体制机制改革为动力，以知识产权高质量创造为引领，以知识产权严格保护和高效运用为重点，着力提升知识产权促进经济高质量发展的综合实力，为滨海新区建设</w:t>
      </w:r>
      <w:r>
        <w:rPr>
          <w:rFonts w:hint="eastAsia" w:hAnsi="Times New Roman" w:cs="Times New Roman"/>
          <w:sz w:val="32"/>
          <w:szCs w:val="32"/>
        </w:rPr>
        <w:t>“一基地三区”</w:t>
      </w:r>
      <w:r>
        <w:rPr>
          <w:rFonts w:ascii="Times New Roman" w:hAnsi="Times New Roman" w:cs="Times New Roman"/>
          <w:sz w:val="32"/>
          <w:szCs w:val="32"/>
        </w:rPr>
        <w:t>核心标志区、京津冀协同发展示范区和</w:t>
      </w:r>
      <w:r>
        <w:rPr>
          <w:rFonts w:hint="eastAsia" w:hAnsi="Times New Roman" w:cs="Times New Roman"/>
          <w:sz w:val="32"/>
          <w:szCs w:val="32"/>
        </w:rPr>
        <w:t>“一带一路”</w:t>
      </w:r>
      <w:r>
        <w:rPr>
          <w:rFonts w:ascii="Times New Roman" w:hAnsi="Times New Roman" w:cs="Times New Roman"/>
          <w:sz w:val="32"/>
          <w:szCs w:val="32"/>
        </w:rPr>
        <w:t>重要战略支点提供有力支撑。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67" w:name="_Toc68550001"/>
      <w:r>
        <w:rPr>
          <w:rFonts w:hint="eastAsia" w:ascii="楷体" w:hAnsi="楷体" w:eastAsia="楷体" w:cs="楷体"/>
          <w:szCs w:val="32"/>
        </w:rPr>
        <w:t>（二）基本原则</w:t>
      </w:r>
      <w:bookmarkEnd w:id="67"/>
    </w:p>
    <w:p>
      <w:pPr>
        <w:spacing w:line="580" w:lineRule="exact"/>
        <w:ind w:firstLine="643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hint="eastAsia"/>
          <w:b/>
          <w:sz w:val="32"/>
          <w:szCs w:val="32"/>
        </w:rPr>
        <w:t>——坚持创新引领，推进改革治理。</w:t>
      </w:r>
      <w:r>
        <w:rPr>
          <w:rFonts w:ascii="Times New Roman" w:hAnsi="Times New Roman" w:cs="Times New Roman"/>
          <w:sz w:val="32"/>
          <w:szCs w:val="32"/>
        </w:rPr>
        <w:t>充分发挥有效市场和有为政府的作用，以知识产权引领创新驱动发展，创新工作机制和措施，深化知识产权综合管理改革，加快知识产权领域</w:t>
      </w:r>
      <w:r>
        <w:rPr>
          <w:rFonts w:hint="eastAsia" w:hAnsi="Times New Roman" w:cs="Times New Roman"/>
          <w:sz w:val="32"/>
          <w:szCs w:val="32"/>
        </w:rPr>
        <w:t>“放管服”</w:t>
      </w:r>
      <w:r>
        <w:rPr>
          <w:rFonts w:ascii="Times New Roman" w:hAnsi="Times New Roman" w:cs="Times New Roman"/>
          <w:sz w:val="32"/>
          <w:szCs w:val="32"/>
        </w:rPr>
        <w:t>，提高知识产权治理能力。</w:t>
      </w:r>
    </w:p>
    <w:p>
      <w:pPr>
        <w:spacing w:line="580" w:lineRule="exact"/>
        <w:ind w:firstLine="643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hint="eastAsia"/>
          <w:b/>
          <w:sz w:val="32"/>
          <w:szCs w:val="32"/>
        </w:rPr>
        <w:t>——坚持市场导向，推进高质发展。</w:t>
      </w:r>
      <w:r>
        <w:rPr>
          <w:rFonts w:ascii="Times New Roman" w:hAnsi="Times New Roman" w:cs="Times New Roman"/>
          <w:sz w:val="32"/>
          <w:szCs w:val="32"/>
        </w:rPr>
        <w:t>围绕促进滨海新区高质量发展要求，激发市场主体发展知识产权动力，运用市场化激励措施，提升企业核心竞争力和产业迈向中高端的创新能力，强化知识产权工作对产业发展的服务与支撑作用。</w:t>
      </w:r>
    </w:p>
    <w:p>
      <w:pPr>
        <w:spacing w:line="580" w:lineRule="exact"/>
        <w:ind w:firstLine="643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hint="eastAsia"/>
          <w:b/>
          <w:sz w:val="32"/>
          <w:szCs w:val="32"/>
        </w:rPr>
        <w:t>——坚持协同共建，推进成果共享。</w:t>
      </w:r>
      <w:r>
        <w:rPr>
          <w:rFonts w:ascii="Times New Roman" w:hAnsi="Times New Roman" w:cs="Times New Roman"/>
          <w:sz w:val="32"/>
          <w:szCs w:val="32"/>
        </w:rPr>
        <w:t>充分发挥企业、高校院所、专业服务机构、金融资本等各方力量，整合各类资源，繁荣知识产权市场，推动构建知识产权共建共享的良好局面。</w:t>
      </w:r>
    </w:p>
    <w:p>
      <w:pPr>
        <w:spacing w:line="580" w:lineRule="exact"/>
        <w:ind w:firstLine="643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hint="eastAsia"/>
          <w:b/>
          <w:sz w:val="32"/>
          <w:szCs w:val="32"/>
        </w:rPr>
        <w:t>——坚持开放合作，推进融合发展。</w:t>
      </w:r>
      <w:r>
        <w:rPr>
          <w:rFonts w:ascii="Times New Roman" w:hAnsi="Times New Roman" w:cs="Times New Roman"/>
          <w:sz w:val="32"/>
          <w:szCs w:val="32"/>
        </w:rPr>
        <w:t>利用好国内、国际两种资源，开拓好国内、国际两个市场，搭建平台、引育机构、培养人才，助推滨海新区知识产权与实体产业相互融合、相互支撑。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68" w:name="_Toc68550002"/>
      <w:r>
        <w:rPr>
          <w:rFonts w:hint="eastAsia" w:ascii="楷体" w:hAnsi="楷体" w:eastAsia="楷体" w:cs="楷体"/>
          <w:szCs w:val="32"/>
        </w:rPr>
        <w:t>（三）发展目标</w:t>
      </w:r>
      <w:bookmarkEnd w:id="68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hint="eastAsia" w:hAnsi="Times New Roman" w:cs="Times New Roman"/>
          <w:sz w:val="32"/>
          <w:szCs w:val="32"/>
        </w:rPr>
        <w:t>“十四五”</w:t>
      </w:r>
      <w:r>
        <w:rPr>
          <w:rFonts w:ascii="Times New Roman" w:hAnsi="Times New Roman" w:cs="Times New Roman"/>
          <w:sz w:val="32"/>
          <w:szCs w:val="32"/>
        </w:rPr>
        <w:t>期间，滨海新区要创建国家知识产权示范强区，建设国家知识产权运营服务体系试点，知识产权社会满意度和营商环境居全国前列，整体实力进入知识产权发达地区行列。</w:t>
      </w:r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到2025年，滨海新区大幅提升知识产权创新能力，每万人口高价值发明专利拥有量超过24件，有效专利量突破9万件，国内有效商标注册量超过10万件，植物新品种、地理标志产品等知识产权量持续增长；不断深化知识产权保护治理能力，不断增强知识产权执法维权力度，</w:t>
      </w:r>
      <w:r>
        <w:rPr>
          <w:rFonts w:ascii="Times New Roman" w:hAnsi="Times New Roman" w:cs="Times New Roman"/>
          <w:color w:val="000000"/>
          <w:sz w:val="32"/>
          <w:szCs w:val="32"/>
        </w:rPr>
        <w:t>受理和处理外地移送案件周期有效缩短</w:t>
      </w:r>
      <w:r>
        <w:rPr>
          <w:rFonts w:ascii="Times New Roman" w:hAnsi="Times New Roman" w:cs="Times New Roman"/>
          <w:sz w:val="32"/>
          <w:szCs w:val="32"/>
        </w:rPr>
        <w:t>；</w:t>
      </w:r>
      <w:r>
        <w:rPr>
          <w:rFonts w:ascii="Times New Roman" w:hAnsi="Times New Roman" w:cs="Times New Roman"/>
          <w:sz w:val="32"/>
          <w:szCs w:val="30"/>
          <w:lang w:val="en-US"/>
        </w:rPr>
        <w:t>健全</w:t>
      </w:r>
      <w:r>
        <w:rPr>
          <w:rFonts w:ascii="Times New Roman" w:hAnsi="Times New Roman" w:cs="Times New Roman"/>
          <w:sz w:val="32"/>
          <w:szCs w:val="30"/>
        </w:rPr>
        <w:t>知识产权运用体系，</w:t>
      </w:r>
      <w:r>
        <w:rPr>
          <w:rFonts w:ascii="Times New Roman" w:hAnsi="Times New Roman" w:cs="Times New Roman"/>
          <w:sz w:val="32"/>
          <w:szCs w:val="32"/>
        </w:rPr>
        <w:t>知识产权转让、许可数量年均增长20%，知识产权质押融资金额和项目数年均增长25%，专利技术合同成交额年均增长15%；持续提升知识产权服务水平，知识产权服务生态系统初步建成。</w:t>
      </w:r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0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到2035年，滨海新区实现知识产权创造高质量发展，完成关键技术核心知识产权创造与布局；形成健全的新技术、新领域、新业态知识产权保护模式，基本建成国际一流知识产权保护高地；建成政策完善、运营规范、机制健全的市场化知识产权运营服务体系，知识产权运用活力有效释放；初步实现知识产权治理体系与能力现代化，形成以政府为主导、多元主体共同参与的知识产权共治新模式、新机制；完善知识产权便民公共服务综合生态系统，知识产权公共服务智能化水平不断提高；初步建成全国领先的知识产权强区。</w:t>
      </w:r>
    </w:p>
    <w:p>
      <w:pPr>
        <w:pStyle w:val="3"/>
        <w:spacing w:beforeLines="50" w:afterLines="50" w:line="580" w:lineRule="exact"/>
        <w:ind w:firstLine="640"/>
      </w:pPr>
      <w:bookmarkStart w:id="69" w:name="_Toc68550003"/>
      <w:r>
        <w:t>四、主要任务</w:t>
      </w:r>
      <w:bookmarkEnd w:id="69"/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70" w:name="_Toc68550004"/>
      <w:r>
        <w:rPr>
          <w:rFonts w:hint="eastAsia" w:ascii="楷体" w:hAnsi="楷体" w:eastAsia="楷体" w:cs="楷体"/>
          <w:szCs w:val="32"/>
        </w:rPr>
        <w:t>（一）推进知识产权高质量创造</w:t>
      </w:r>
      <w:bookmarkEnd w:id="70"/>
    </w:p>
    <w:p>
      <w:pPr>
        <w:pStyle w:val="5"/>
        <w:spacing w:line="580" w:lineRule="exact"/>
        <w:ind w:firstLine="643"/>
      </w:pPr>
      <w:bookmarkStart w:id="71" w:name="_Toc68550005"/>
      <w:bookmarkStart w:id="72" w:name="_Toc48126212"/>
      <w:bookmarkStart w:id="73" w:name="_Toc48655546"/>
      <w:bookmarkStart w:id="74" w:name="_Toc49348547"/>
      <w:bookmarkStart w:id="75" w:name="_Toc49346274"/>
      <w:bookmarkStart w:id="76" w:name="_Toc47536302"/>
      <w:bookmarkStart w:id="77" w:name="_Toc49346571"/>
      <w:bookmarkStart w:id="78" w:name="_Toc48120428"/>
      <w:bookmarkStart w:id="79" w:name="_Toc48126210"/>
      <w:bookmarkStart w:id="80" w:name="_Toc48655544"/>
      <w:bookmarkStart w:id="81" w:name="_Toc49348543"/>
      <w:bookmarkStart w:id="82" w:name="_Toc49346569"/>
      <w:bookmarkStart w:id="83" w:name="_Toc49346272"/>
      <w:r>
        <w:t>1.支撑信创产业优先发展，突破“卡脖子”核心技术</w:t>
      </w:r>
      <w:bookmarkEnd w:id="71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围绕</w:t>
      </w:r>
      <w:r>
        <w:rPr>
          <w:rFonts w:hint="eastAsia" w:hAnsi="Times New Roman" w:cs="Times New Roman"/>
          <w:sz w:val="32"/>
          <w:szCs w:val="32"/>
        </w:rPr>
        <w:t>“</w:t>
      </w:r>
      <w:r>
        <w:rPr>
          <w:rFonts w:ascii="Times New Roman" w:hAnsi="Times New Roman" w:cs="Times New Roman"/>
          <w:sz w:val="32"/>
          <w:szCs w:val="32"/>
        </w:rPr>
        <w:t>1+3+4</w:t>
      </w:r>
      <w:r>
        <w:rPr>
          <w:rFonts w:hint="eastAsia" w:hAnsi="Times New Roman" w:cs="Times New Roman"/>
          <w:sz w:val="32"/>
          <w:szCs w:val="32"/>
        </w:rPr>
        <w:t>”</w:t>
      </w:r>
      <w:r>
        <w:rPr>
          <w:rFonts w:ascii="Times New Roman" w:hAnsi="Times New Roman" w:cs="Times New Roman"/>
          <w:sz w:val="32"/>
          <w:szCs w:val="32"/>
        </w:rPr>
        <w:t>现代产业体系建设，聚焦</w:t>
      </w:r>
      <w:r>
        <w:rPr>
          <w:rFonts w:hint="eastAsia" w:hAnsi="Times New Roman" w:cs="Times New Roman"/>
          <w:sz w:val="32"/>
          <w:szCs w:val="32"/>
        </w:rPr>
        <w:t>“信创谷”“生物制造谷”“细胞谷”“北方声谷”</w:t>
      </w:r>
      <w:r>
        <w:rPr>
          <w:rFonts w:ascii="Times New Roman" w:hAnsi="Times New Roman" w:cs="Times New Roman"/>
          <w:sz w:val="32"/>
          <w:szCs w:val="32"/>
        </w:rPr>
        <w:t>等特色产业集聚区，着力提高产业集群的知识产权创造能力，推进高质量知识产权赋能产业转型升级，打造在全国具有重大影响力的产业集群。优先发展信创产业知识产权，聚焦CPU芯片、服务器、操作系统、数据库、网络安全、终端设备等领域核心技术，提升信创产业专利质量，培育标准必要专利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（责任单位：区市场监管局，区科技局，各开发区，各街镇，区知识产权保护中心）</w:t>
      </w:r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依托中国（天津）知识产权保护中心和中国（滨海新区）知识产权保护中心专利审查资源，集中力量突破</w:t>
      </w:r>
      <w:r>
        <w:rPr>
          <w:rFonts w:hint="eastAsia" w:hAnsi="Times New Roman" w:cs="Times New Roman"/>
          <w:sz w:val="32"/>
          <w:szCs w:val="32"/>
        </w:rPr>
        <w:t>“卡脖子”</w:t>
      </w:r>
      <w:r>
        <w:rPr>
          <w:rFonts w:ascii="Times New Roman" w:hAnsi="Times New Roman" w:cs="Times New Roman"/>
          <w:sz w:val="32"/>
          <w:szCs w:val="32"/>
        </w:rPr>
        <w:t>核心技术，从创造源头上抢占知识产权高地，同时，加快关键专利技术产业化，开发专利密集型产品，培育专利密集型产业。到2025年，重点培育形成</w:t>
      </w:r>
      <w:r>
        <w:rPr>
          <w:rFonts w:hint="eastAsia" w:ascii="Times New Roman" w:hAnsi="Times New Roman" w:cs="Times New Roman"/>
          <w:sz w:val="32"/>
          <w:szCs w:val="32"/>
          <w:lang w:val="en-US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个</w:t>
      </w:r>
      <w:r>
        <w:rPr>
          <w:rFonts w:ascii="Times New Roman" w:hAnsi="Times New Roman" w:cs="Times New Roman"/>
          <w:sz w:val="32"/>
          <w:szCs w:val="32"/>
        </w:rPr>
        <w:t>专利密集型产业，专利密集型产业增加值显著提升。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（责任单位：区市场监管局，各开发区，各街镇，区知识产权保护中心）</w:t>
      </w:r>
    </w:p>
    <w:p>
      <w:pPr>
        <w:pStyle w:val="5"/>
        <w:spacing w:line="580" w:lineRule="exact"/>
        <w:ind w:firstLine="643"/>
      </w:pPr>
      <w:bookmarkStart w:id="84" w:name="_Toc68550006"/>
      <w:r>
        <w:t>2.培育高价值专利</w:t>
      </w:r>
      <w:bookmarkEnd w:id="72"/>
      <w:bookmarkEnd w:id="73"/>
      <w:bookmarkEnd w:id="74"/>
      <w:bookmarkEnd w:id="75"/>
      <w:bookmarkEnd w:id="76"/>
      <w:bookmarkEnd w:id="77"/>
      <w:bookmarkEnd w:id="78"/>
      <w:r>
        <w:rPr>
          <w:rFonts w:hint="eastAsia"/>
        </w:rPr>
        <w:t>新高地</w:t>
      </w:r>
      <w:r>
        <w:t>，支撑优势企业转型升级</w:t>
      </w:r>
      <w:bookmarkEnd w:id="84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实施专利强企工程，提高PCT专利</w:t>
      </w:r>
      <w:r>
        <w:rPr>
          <w:rFonts w:ascii="Times New Roman" w:hAnsi="Times New Roman" w:cs="Times New Roman"/>
          <w:sz w:val="32"/>
          <w:szCs w:val="32"/>
        </w:rPr>
        <w:t>授权</w:t>
      </w:r>
      <w:r>
        <w:rPr>
          <w:rFonts w:ascii="Times New Roman" w:hAnsi="Times New Roman" w:cs="Times New Roman"/>
          <w:color w:val="000000"/>
          <w:sz w:val="32"/>
          <w:szCs w:val="32"/>
        </w:rPr>
        <w:t>量，推进发明专利清零，支持建设知识产权特色园区和特色小镇，助推滨海新区引育新动能、推动高质量发展，支撑产业转型升级。支持优势企业开</w:t>
      </w:r>
      <w:r>
        <w:rPr>
          <w:rFonts w:ascii="Times New Roman" w:hAnsi="Times New Roman" w:cs="Times New Roman"/>
          <w:sz w:val="32"/>
          <w:szCs w:val="32"/>
        </w:rPr>
        <w:t>展关键技术高价值专利培育，累计实施50</w:t>
      </w:r>
      <w:r>
        <w:rPr>
          <w:rFonts w:hint="eastAsia" w:ascii="Times New Roman" w:hAnsi="Times New Roman" w:cs="Times New Roman"/>
          <w:sz w:val="32"/>
          <w:szCs w:val="32"/>
        </w:rPr>
        <w:t>项</w:t>
      </w:r>
      <w:r>
        <w:rPr>
          <w:rFonts w:ascii="Times New Roman" w:hAnsi="Times New Roman" w:cs="Times New Roman"/>
          <w:sz w:val="32"/>
          <w:szCs w:val="32"/>
        </w:rPr>
        <w:t>高价值专利培育项目，形成20个对提高经济效益发挥关键作用的高价值专利组合。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（责任单位：区市场监管局，各开发区，各街镇）</w:t>
      </w:r>
    </w:p>
    <w:p>
      <w:pPr>
        <w:pStyle w:val="5"/>
        <w:spacing w:line="580" w:lineRule="exact"/>
        <w:ind w:firstLine="643"/>
      </w:pPr>
      <w:bookmarkStart w:id="85" w:name="_Toc68550007"/>
      <w:r>
        <w:t>3.实施品牌战略发展</w:t>
      </w:r>
      <w:bookmarkEnd w:id="79"/>
      <w:bookmarkEnd w:id="80"/>
      <w:bookmarkEnd w:id="81"/>
      <w:bookmarkEnd w:id="82"/>
      <w:bookmarkEnd w:id="83"/>
      <w:r>
        <w:t>计划，打造区域经济特色名片</w:t>
      </w:r>
      <w:bookmarkEnd w:id="85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围绕信创、</w:t>
      </w:r>
      <w:r>
        <w:rPr>
          <w:rFonts w:ascii="Times New Roman" w:hAnsi="Times New Roman" w:cs="Times New Roman"/>
          <w:sz w:val="32"/>
          <w:szCs w:val="32"/>
        </w:rPr>
        <w:t>生物医药、新能源汽车等优势主导产业，打造</w:t>
      </w:r>
      <w:r>
        <w:rPr>
          <w:rFonts w:ascii="Times New Roman" w:hAnsi="Times New Roman" w:cs="Times New Roman"/>
          <w:color w:val="000000"/>
          <w:sz w:val="32"/>
          <w:szCs w:val="32"/>
        </w:rPr>
        <w:t>区域知名商标。支持优势企业进行马德里商标国际注册，培育全球知名商标。</w:t>
      </w:r>
      <w:r>
        <w:rPr>
          <w:rFonts w:ascii="Times New Roman" w:hAnsi="Times New Roman" w:cs="Times New Roman"/>
          <w:bCs/>
          <w:sz w:val="32"/>
          <w:szCs w:val="32"/>
        </w:rPr>
        <w:t>支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持滨海新区特色农产品行业组织，培育有影响力的地理标志产品</w:t>
      </w:r>
      <w:r>
        <w:rPr>
          <w:rFonts w:ascii="Times New Roman" w:hAnsi="Times New Roman" w:cs="Times New Roman"/>
          <w:color w:val="000000"/>
          <w:sz w:val="32"/>
          <w:szCs w:val="32"/>
        </w:rPr>
        <w:t>，</w:t>
      </w:r>
      <w:r>
        <w:rPr>
          <w:rFonts w:ascii="Times New Roman" w:hAnsi="Times New Roman" w:cs="Times New Roman"/>
          <w:sz w:val="32"/>
          <w:szCs w:val="32"/>
        </w:rPr>
        <w:t>打造区域品牌，</w:t>
      </w:r>
      <w:r>
        <w:rPr>
          <w:rFonts w:ascii="Times New Roman" w:hAnsi="Times New Roman" w:cs="Times New Roman"/>
          <w:bCs/>
          <w:sz w:val="32"/>
          <w:szCs w:val="32"/>
        </w:rPr>
        <w:t>拓展营销渠道，支撑区域特色经济发展。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推进地理标志与</w:t>
      </w:r>
      <w:r>
        <w:rPr>
          <w:rFonts w:ascii="Times New Roman" w:hAnsi="Times New Roman" w:cs="Times New Roman"/>
          <w:bCs/>
          <w:sz w:val="32"/>
          <w:szCs w:val="32"/>
        </w:rPr>
        <w:t>商标、版权、专利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等多类型知识产权协同运用，实现地理标志产品产值显著提升。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</w:t>
      </w:r>
      <w:r>
        <w:rPr>
          <w:rFonts w:hint="eastAsia" w:ascii="Times New Roman" w:hAnsi="Times New Roman" w:cs="Times New Roman"/>
          <w:b/>
          <w:bCs/>
          <w:color w:val="000000"/>
          <w:sz w:val="32"/>
          <w:szCs w:val="32"/>
        </w:rPr>
        <w:t>区市场监管局，区农业农村委，区新闻出版局，各开发区</w:t>
      </w:r>
      <w:r>
        <w:rPr>
          <w:rFonts w:hint="eastAsia" w:ascii="Times New Roman" w:hAnsi="Times New Roman" w:cs="Times New Roman"/>
          <w:b/>
          <w:sz w:val="32"/>
          <w:szCs w:val="32"/>
        </w:rPr>
        <w:t>，</w:t>
      </w:r>
      <w:r>
        <w:rPr>
          <w:rFonts w:hint="eastAsia" w:ascii="Times New Roman" w:hAnsi="Times New Roman" w:cs="Times New Roman"/>
          <w:b/>
          <w:bCs/>
          <w:color w:val="000000"/>
          <w:sz w:val="32"/>
          <w:szCs w:val="32"/>
        </w:rPr>
        <w:t>各街镇）</w:t>
      </w:r>
    </w:p>
    <w:p>
      <w:pPr>
        <w:pStyle w:val="5"/>
        <w:spacing w:line="580" w:lineRule="exact"/>
        <w:ind w:firstLine="643"/>
      </w:pPr>
      <w:bookmarkStart w:id="86" w:name="_Toc68550008"/>
      <w:r>
        <w:t>4.推进版权文化产业创新，激发版权文化创造活力</w:t>
      </w:r>
      <w:bookmarkEnd w:id="86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着力激发版权及文化产业创新创造活力，加强版权及文化产业的规划引导，巩固政府机关软件正版化长效管理机制，鼓励事业单位、国有企业推行软件正版化。通过数字技术推动版权及文化产业迈向高质量发展，大力开展宣传活动，激发全社会的创新创造潜力，广泛聚合优质版权及文化产业创作主体，有效加快版权及文化产业创新发展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</w:t>
      </w:r>
      <w:r>
        <w:rPr>
          <w:rFonts w:ascii="Times New Roman" w:hAnsi="Times New Roman" w:cs="Times New Roman"/>
          <w:b/>
          <w:sz w:val="32"/>
          <w:szCs w:val="32"/>
        </w:rPr>
        <w:t>区委宣传部</w:t>
      </w:r>
      <w:r>
        <w:rPr>
          <w:rFonts w:hint="eastAsia" w:ascii="Times New Roman" w:hAnsi="Times New Roman" w:cs="Times New Roman"/>
          <w:b/>
          <w:sz w:val="32"/>
          <w:szCs w:val="32"/>
        </w:rPr>
        <w:t>，区新闻出版局，区文化和旅游局，各开发区，各街镇）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87" w:name="_Toc68550009"/>
      <w:r>
        <w:rPr>
          <w:rFonts w:hint="eastAsia" w:ascii="楷体" w:hAnsi="楷体" w:eastAsia="楷体" w:cs="楷体"/>
          <w:szCs w:val="32"/>
        </w:rPr>
        <w:t>（二）强化知识产权高规格保护</w:t>
      </w:r>
      <w:bookmarkEnd w:id="87"/>
    </w:p>
    <w:p>
      <w:pPr>
        <w:pStyle w:val="5"/>
        <w:spacing w:line="580" w:lineRule="exact"/>
        <w:ind w:firstLine="643"/>
      </w:pPr>
      <w:bookmarkStart w:id="88" w:name="_Toc68550010"/>
      <w:r>
        <w:t>1.实施知识产权严保护，提升规范治理力度</w:t>
      </w:r>
      <w:bookmarkEnd w:id="88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严格实施《天津市知识产权保护条例》《滨海新区关于强化知识产权保护的实施意见》，提升知识产权保护法治化水平。推动知识产权案件裁判、裁量标准统一，严格区域监管。深入推进知识产权民事、刑事、行政案件审判</w:t>
      </w:r>
      <w:r>
        <w:rPr>
          <w:rFonts w:hint="eastAsia" w:hAnsi="Times New Roman" w:cs="Times New Roman"/>
          <w:sz w:val="32"/>
          <w:szCs w:val="32"/>
        </w:rPr>
        <w:t>“三合一”</w:t>
      </w:r>
      <w:r>
        <w:rPr>
          <w:rFonts w:ascii="Times New Roman" w:hAnsi="Times New Roman" w:cs="Times New Roman"/>
          <w:sz w:val="32"/>
          <w:szCs w:val="32"/>
        </w:rPr>
        <w:t>机制改革。</w:t>
      </w:r>
      <w:r>
        <w:rPr>
          <w:rFonts w:ascii="Times New Roman" w:hAnsi="Times New Roman" w:cs="Times New Roman"/>
          <w:color w:val="000000"/>
          <w:sz w:val="32"/>
          <w:szCs w:val="32"/>
        </w:rPr>
        <w:t>开展知识产权侵权分析、风险预警与应对工作。</w:t>
      </w:r>
      <w:r>
        <w:rPr>
          <w:rFonts w:hint="eastAsia" w:ascii="Times New Roman" w:hAnsi="Times New Roman" w:cs="Times New Roman"/>
          <w:b/>
          <w:color w:val="000000"/>
          <w:sz w:val="32"/>
          <w:szCs w:val="32"/>
        </w:rPr>
        <w:t>（责任单位：区市场监管局，区法院，区检察院，区公安局，区司法局，驻区各海关，各开发区</w:t>
      </w:r>
      <w:r>
        <w:rPr>
          <w:rFonts w:hint="eastAsia" w:ascii="Times New Roman" w:hAnsi="Times New Roman" w:cs="Times New Roman"/>
          <w:b/>
          <w:sz w:val="32"/>
          <w:szCs w:val="32"/>
        </w:rPr>
        <w:t>，</w:t>
      </w:r>
      <w:r>
        <w:rPr>
          <w:rFonts w:hint="eastAsia" w:ascii="Times New Roman" w:hAnsi="Times New Roman" w:cs="Times New Roman"/>
          <w:b/>
          <w:color w:val="000000"/>
          <w:sz w:val="32"/>
          <w:szCs w:val="32"/>
        </w:rPr>
        <w:t>各街镇，区知识产权保护中心）</w:t>
      </w:r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加强新业态、新领域保护，加强对大数据、云计算、区块链、5G、人工智能等新技术产业的知识产权保护，严格执行跨境电商知识产权保护规则和电商平台保护管理标准，加强展会知识产权保护。强化版权及文化产业保护。建立健全中华老字号、传统文化、中医药领域知识产权保护机制。强化商业秘密保护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（责任单位：区市场监管局，区商务和投促局，区文化和旅游局，区农业农村委，市规自局滨海分局，区新闻出版局，区委宣传部，区法院，区检察院，区公安局）</w:t>
      </w:r>
    </w:p>
    <w:p>
      <w:pPr>
        <w:pStyle w:val="5"/>
        <w:spacing w:line="580" w:lineRule="exact"/>
        <w:ind w:firstLine="643"/>
      </w:pPr>
      <w:bookmarkStart w:id="89" w:name="_Toc68550011"/>
      <w:r>
        <w:t>2.健全知识产权大保护，强化社会监督共治</w:t>
      </w:r>
      <w:bookmarkEnd w:id="89"/>
    </w:p>
    <w:p>
      <w:pPr>
        <w:shd w:val="clear" w:color="auto" w:fill="FFFFFF"/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拓宽社会共治渠道，形成全区</w:t>
      </w:r>
      <w:r>
        <w:rPr>
          <w:rFonts w:hint="eastAsia" w:hAnsi="Times New Roman" w:cs="Times New Roman"/>
          <w:sz w:val="32"/>
          <w:szCs w:val="32"/>
        </w:rPr>
        <w:t>“一盘棋”</w:t>
      </w:r>
      <w:r>
        <w:rPr>
          <w:rFonts w:ascii="Times New Roman" w:hAnsi="Times New Roman" w:cs="Times New Roman"/>
          <w:sz w:val="32"/>
          <w:szCs w:val="32"/>
        </w:rPr>
        <w:t>的知识产权保护体系。优化完善知识产权仲裁、调解、公证工作机制。完善多元化纠纷解决机制，推进行政执法、司法保护、仲裁、调解高效对接，促进行政裁决与其他矛盾纠纷化解方式协调衔接。推进知识产权纠纷诉前委派调解、诉中委托调解。加强跨部门跨区域办案协作，制定跨部门知识产权案件处理规程，健全部门间重大案件联合查办和移交机制。</w:t>
      </w:r>
      <w:r>
        <w:rPr>
          <w:rFonts w:ascii="Times New Roman" w:hAnsi="Times New Roman" w:cs="Times New Roman"/>
          <w:sz w:val="32"/>
          <w:szCs w:val="32"/>
          <w:lang w:val="en-US"/>
        </w:rPr>
        <w:t>调动社会力量积极参与知识产权保护治理</w:t>
      </w:r>
      <w:r>
        <w:rPr>
          <w:rFonts w:ascii="Times New Roman" w:hAnsi="Times New Roman" w:cs="Times New Roman"/>
          <w:sz w:val="32"/>
          <w:szCs w:val="32"/>
        </w:rPr>
        <w:t>，</w:t>
      </w:r>
      <w:r>
        <w:rPr>
          <w:rFonts w:ascii="Times New Roman" w:hAnsi="Times New Roman" w:cs="Times New Roman"/>
          <w:sz w:val="32"/>
          <w:szCs w:val="32"/>
          <w:lang w:val="en-US"/>
        </w:rPr>
        <w:t>建立</w:t>
      </w:r>
      <w:r>
        <w:rPr>
          <w:rFonts w:ascii="Times New Roman" w:hAnsi="Times New Roman" w:cs="Times New Roman"/>
          <w:sz w:val="32"/>
          <w:szCs w:val="32"/>
        </w:rPr>
        <w:t>健全知识产权保护志愿者制度，支持律师、</w:t>
      </w:r>
      <w:r>
        <w:rPr>
          <w:rFonts w:ascii="Times New Roman" w:hAnsi="Times New Roman" w:cs="Times New Roman"/>
          <w:sz w:val="32"/>
          <w:szCs w:val="32"/>
          <w:lang w:val="en-US"/>
        </w:rPr>
        <w:t>专利审查员</w:t>
      </w:r>
      <w:r>
        <w:rPr>
          <w:rFonts w:ascii="Times New Roman" w:hAnsi="Times New Roman" w:cs="Times New Roman"/>
          <w:sz w:val="32"/>
          <w:szCs w:val="32"/>
        </w:rPr>
        <w:t>、专利代理师参与纠纷调解、普法宣传等工作。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法院，区检察院，区公安局，区司法局，区新闻出版局，区委宣传部，区商务和投促局，区文化和旅游局，区农业农村委，市规自局滨海分局，驻区各海关，各开发区，各街镇，区知识产权保护中心）</w:t>
      </w:r>
    </w:p>
    <w:p>
      <w:pPr>
        <w:pStyle w:val="5"/>
        <w:spacing w:line="580" w:lineRule="exact"/>
        <w:ind w:firstLine="643"/>
      </w:pPr>
      <w:bookmarkStart w:id="90" w:name="_Toc68550012"/>
      <w:r>
        <w:t>3.推进知识产权快保护，提升协同保护效能</w:t>
      </w:r>
      <w:bookmarkEnd w:id="90"/>
    </w:p>
    <w:p>
      <w:pPr>
        <w:shd w:val="clear" w:color="auto" w:fill="FFFFFF"/>
        <w:spacing w:line="580" w:lineRule="exact"/>
        <w:ind w:firstLine="640" w:firstLineChars="200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推动简易案件和纠纷快速处理。</w:t>
      </w:r>
      <w:r>
        <w:rPr>
          <w:rFonts w:ascii="Times New Roman" w:hAnsi="Times New Roman" w:cs="Times New Roman"/>
          <w:color w:val="000000"/>
          <w:sz w:val="32"/>
          <w:szCs w:val="32"/>
        </w:rPr>
        <w:t>强化滨海新区知识产权法庭功能，</w:t>
      </w:r>
      <w:r>
        <w:rPr>
          <w:rFonts w:ascii="Times New Roman" w:hAnsi="Times New Roman" w:cs="Times New Roman"/>
          <w:sz w:val="32"/>
          <w:szCs w:val="32"/>
        </w:rPr>
        <w:t>优化和推进快速审判机制，实行简案快审、繁案精审。在电商平台、展会、专业市场、海关等关键环节，建立行政执法、仲裁、调解等快速处理渠道。提高网络侵权盗版信息发现、研判、处置能力，打击利用版权诉讼进行投机性牟利活动。依托中国（滨海新区）知识产权保护中心，不断提高专利审查服务质量，提供专利快速审查、快速确权、快速维权</w:t>
      </w:r>
      <w:r>
        <w:rPr>
          <w:rFonts w:hint="eastAsia" w:hAnsi="Times New Roman" w:cs="Times New Roman"/>
          <w:sz w:val="32"/>
          <w:szCs w:val="32"/>
        </w:rPr>
        <w:t>“一站式”</w:t>
      </w:r>
      <w:r>
        <w:rPr>
          <w:rFonts w:ascii="Times New Roman" w:hAnsi="Times New Roman" w:cs="Times New Roman"/>
          <w:sz w:val="32"/>
          <w:szCs w:val="32"/>
        </w:rPr>
        <w:t>纠纷解决方案。争取设立滨海新区国家商标局商标巡回评审庭。建设行政裁决口头审理厅。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法院，区商务和投促局，区司法局，区文化和旅游局，区农业农村委，市规自局滨海分局，区委网信办，区委宣传部，区新闻出版局，区公安局，驻区各海关，各相关电信运营商，各开发区，各街镇，区知识产权保护中心）</w:t>
      </w:r>
    </w:p>
    <w:p>
      <w:pPr>
        <w:pStyle w:val="5"/>
        <w:spacing w:line="580" w:lineRule="exact"/>
        <w:ind w:firstLine="643"/>
      </w:pPr>
      <w:bookmarkStart w:id="91" w:name="_Toc68550013"/>
      <w:r>
        <w:t>4.确保知识产权同保护，构建平等营商环境</w:t>
      </w:r>
      <w:bookmarkEnd w:id="91"/>
    </w:p>
    <w:p>
      <w:pPr>
        <w:shd w:val="clear" w:color="auto" w:fill="FFFFFF"/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坚持对内外资企业的知识产权一视同仁。确保外商投资企业在专利申请、优先审查与侵权判定、纠纷裁决、案件执行、快速维权等方面享有同等权利、同等保护，构建公平、统一的知识产权保护环境。加强与</w:t>
      </w:r>
      <w:r>
        <w:rPr>
          <w:rFonts w:hint="eastAsia" w:hAnsi="Times New Roman" w:cs="Times New Roman"/>
          <w:sz w:val="32"/>
          <w:szCs w:val="32"/>
        </w:rPr>
        <w:t>“一带一路”</w:t>
      </w:r>
      <w:r>
        <w:rPr>
          <w:rFonts w:ascii="Times New Roman" w:hAnsi="Times New Roman" w:cs="Times New Roman"/>
          <w:sz w:val="32"/>
          <w:szCs w:val="32"/>
        </w:rPr>
        <w:t>沿线友好城市、地区知识产权保护合作，促进国际知识产权保护交流。加强出口产品转内销市场准入，强化相关产品知识产权保护。加强知识产权领域国际合作，探索建设海外知识产权纠纷应对滨海新区分中心。建立海外知识产权风险防范应对机制，有效开展海外知识产权预警防范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（责任单位：区市场监管局，区外办，区委宣传部，区新闻出版局，区法院，区商务和投促局，区文化和旅游局，区农业农村委，市规自局滨海分局，驻区各海关，区知识产权保护中心）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92" w:name="_Toc68550014"/>
      <w:r>
        <w:rPr>
          <w:rFonts w:hint="eastAsia" w:ascii="楷体" w:hAnsi="楷体" w:eastAsia="楷体" w:cs="楷体"/>
          <w:szCs w:val="32"/>
        </w:rPr>
        <w:t>（三）促进知识产权高效益运用</w:t>
      </w:r>
      <w:bookmarkEnd w:id="92"/>
    </w:p>
    <w:p>
      <w:pPr>
        <w:pStyle w:val="5"/>
        <w:spacing w:line="580" w:lineRule="exact"/>
        <w:ind w:firstLine="643"/>
      </w:pPr>
      <w:bookmarkStart w:id="93" w:name="_Toc49348542"/>
      <w:bookmarkStart w:id="94" w:name="_Toc49346568"/>
      <w:bookmarkStart w:id="95" w:name="_Toc49346271"/>
      <w:bookmarkStart w:id="96" w:name="_Toc48655543"/>
      <w:bookmarkStart w:id="97" w:name="_Toc48126209"/>
      <w:bookmarkStart w:id="98" w:name="_Toc68550015"/>
      <w:r>
        <w:t>1.强化知识产权分析</w:t>
      </w:r>
      <w:bookmarkEnd w:id="93"/>
      <w:bookmarkEnd w:id="94"/>
      <w:bookmarkEnd w:id="95"/>
      <w:bookmarkEnd w:id="96"/>
      <w:bookmarkEnd w:id="97"/>
      <w:r>
        <w:t>应用，助推产业创新转型升级</w:t>
      </w:r>
      <w:bookmarkEnd w:id="98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围绕产业规划、科技立项、招商引资等政府决策，实施</w:t>
      </w:r>
      <w:r>
        <w:rPr>
          <w:rFonts w:ascii="Times New Roman" w:hAnsi="Times New Roman" w:cs="Times New Roman"/>
          <w:color w:val="000000"/>
          <w:sz w:val="32"/>
          <w:szCs w:val="30"/>
          <w:lang w:val="en-US"/>
        </w:rPr>
        <w:t>知识产权分析评议</w:t>
      </w:r>
      <w:r>
        <w:rPr>
          <w:rFonts w:ascii="Times New Roman" w:hAnsi="Times New Roman" w:cs="Times New Roman"/>
          <w:color w:val="000000"/>
          <w:sz w:val="32"/>
          <w:szCs w:val="32"/>
        </w:rPr>
        <w:t>，针对重点项目构建引进前挖掘、引进中评议、引进后管理的全流程知识产权分析评议机制。</w:t>
      </w:r>
      <w:r>
        <w:rPr>
          <w:rFonts w:ascii="Times New Roman" w:hAnsi="Times New Roman" w:cs="Times New Roman"/>
          <w:sz w:val="32"/>
          <w:szCs w:val="32"/>
        </w:rPr>
        <w:t>以滨海新区国家人工智能创新应用先导区为牵引，聚焦智能科技、</w:t>
      </w:r>
      <w:r>
        <w:rPr>
          <w:rFonts w:ascii="Times New Roman" w:hAnsi="Times New Roman" w:cs="Times New Roman"/>
          <w:sz w:val="32"/>
          <w:szCs w:val="32"/>
          <w:lang w:val="en-US"/>
        </w:rPr>
        <w:t>生物医药</w:t>
      </w:r>
      <w:r>
        <w:rPr>
          <w:rFonts w:ascii="Times New Roman" w:hAnsi="Times New Roman" w:cs="Times New Roman"/>
          <w:sz w:val="32"/>
          <w:szCs w:val="32"/>
        </w:rPr>
        <w:t>、新能源、新材料、航空航天、高端装备制造、海洋装备等主导产业，</w:t>
      </w:r>
      <w:r>
        <w:rPr>
          <w:rFonts w:ascii="Times New Roman" w:hAnsi="Times New Roman" w:cs="Times New Roman"/>
          <w:color w:val="000000"/>
          <w:sz w:val="32"/>
          <w:szCs w:val="32"/>
        </w:rPr>
        <w:t>实施40项产业规划类专利导航项目，打造5项国家级示范项目；开展50项企业创新类专利导航项目。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（责任单位：区市场监管局，区商务和投促局，</w:t>
      </w:r>
      <w:r>
        <w:rPr>
          <w:rFonts w:hint="eastAsia" w:ascii="Times New Roman" w:hAnsi="Times New Roman" w:cs="Times New Roman"/>
          <w:b/>
          <w:sz w:val="32"/>
          <w:szCs w:val="32"/>
          <w:lang w:val="en-US"/>
        </w:rPr>
        <w:t>区发改委</w:t>
      </w:r>
      <w:r>
        <w:rPr>
          <w:rFonts w:hint="eastAsia" w:ascii="Times New Roman" w:hAnsi="Times New Roman" w:cs="Times New Roman"/>
          <w:b/>
          <w:sz w:val="32"/>
          <w:szCs w:val="32"/>
        </w:rPr>
        <w:t>，区工业和信息化局，各开发区，各街镇）</w:t>
      </w:r>
    </w:p>
    <w:p>
      <w:pPr>
        <w:pStyle w:val="5"/>
        <w:spacing w:line="580" w:lineRule="exact"/>
        <w:ind w:firstLine="643"/>
      </w:pPr>
      <w:bookmarkStart w:id="99" w:name="_Toc68550016"/>
      <w:bookmarkStart w:id="100" w:name="_Toc49346275"/>
      <w:bookmarkStart w:id="101" w:name="_Toc47536303"/>
      <w:bookmarkStart w:id="102" w:name="_Toc48126213"/>
      <w:bookmarkStart w:id="103" w:name="_Toc49346572"/>
      <w:bookmarkStart w:id="104" w:name="_Toc48120429"/>
      <w:bookmarkStart w:id="105" w:name="_Toc49348548"/>
      <w:bookmarkStart w:id="106" w:name="_Toc48655547"/>
      <w:r>
        <w:t>2.建设知识产权运营中心，打造成果增值交易载体</w:t>
      </w:r>
      <w:bookmarkEnd w:id="99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围绕滨海新区主导产业，支持高校院所、行业龙头企业建设产业知识产权运营中心，并创建国家级运营中心。</w:t>
      </w:r>
      <w:bookmarkStart w:id="107" w:name="_Hlk49438718"/>
      <w:bookmarkEnd w:id="107"/>
      <w:r>
        <w:rPr>
          <w:rFonts w:ascii="Times New Roman" w:hAnsi="Times New Roman" w:cs="Times New Roman"/>
          <w:bCs/>
          <w:color w:val="000000"/>
          <w:sz w:val="32"/>
          <w:szCs w:val="32"/>
        </w:rPr>
        <w:t>重点</w:t>
      </w:r>
      <w:r>
        <w:rPr>
          <w:rFonts w:ascii="Times New Roman" w:hAnsi="Times New Roman" w:cs="Times New Roman"/>
          <w:color w:val="000000"/>
          <w:sz w:val="32"/>
          <w:szCs w:val="32"/>
        </w:rPr>
        <w:t>建立产业知识产权联盟，培育</w:t>
      </w:r>
      <w:r>
        <w:rPr>
          <w:rFonts w:ascii="Times New Roman" w:hAnsi="Times New Roman" w:cs="Times New Roman"/>
          <w:sz w:val="32"/>
          <w:szCs w:val="32"/>
        </w:rPr>
        <w:t>规模较大、布局合理、对产业发展和提高国际竞争力具有支撑保障作用的高</w:t>
      </w:r>
      <w:r>
        <w:rPr>
          <w:rFonts w:ascii="Times New Roman" w:hAnsi="Times New Roman" w:cs="Times New Roman"/>
          <w:color w:val="000000"/>
          <w:sz w:val="32"/>
          <w:szCs w:val="32"/>
        </w:rPr>
        <w:t>价值专利组合，构建专利池，推进知识产权许可、转让、作价入股等</w:t>
      </w:r>
      <w:r>
        <w:rPr>
          <w:rFonts w:ascii="Times New Roman" w:hAnsi="Times New Roman" w:cs="Times New Roman"/>
          <w:sz w:val="32"/>
          <w:szCs w:val="32"/>
        </w:rPr>
        <w:t>，</w:t>
      </w:r>
      <w:r>
        <w:rPr>
          <w:rFonts w:ascii="Times New Roman" w:hAnsi="Times New Roman" w:cs="Times New Roman"/>
          <w:color w:val="000000"/>
          <w:sz w:val="32"/>
          <w:szCs w:val="32"/>
        </w:rPr>
        <w:t>组织产业特色知识产权评估评价，</w:t>
      </w:r>
      <w:r>
        <w:rPr>
          <w:rFonts w:ascii="Times New Roman" w:hAnsi="Times New Roman" w:cs="Times New Roman"/>
          <w:sz w:val="32"/>
          <w:szCs w:val="32"/>
        </w:rPr>
        <w:t>建立</w:t>
      </w:r>
      <w:r>
        <w:rPr>
          <w:rFonts w:ascii="Times New Roman" w:hAnsi="Times New Roman" w:cs="Times New Roman"/>
          <w:color w:val="000000"/>
          <w:sz w:val="32"/>
          <w:szCs w:val="32"/>
        </w:rPr>
        <w:t>综合类知识产权数据库，</w:t>
      </w:r>
      <w:r>
        <w:rPr>
          <w:rFonts w:ascii="Times New Roman" w:hAnsi="Times New Roman" w:cs="Times New Roman"/>
          <w:sz w:val="32"/>
          <w:szCs w:val="32"/>
        </w:rPr>
        <w:t>充分释放知识产权规模价值。</w:t>
      </w:r>
      <w:r>
        <w:rPr>
          <w:rFonts w:ascii="Times New Roman" w:hAnsi="Times New Roman" w:cs="Times New Roman"/>
          <w:color w:val="000000"/>
          <w:sz w:val="32"/>
          <w:szCs w:val="32"/>
        </w:rPr>
        <w:t>到2025年，建成6家知识产权运营中心。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（责任单位：区市场监管局，区财政局，区教体局，各开发区，各街镇）</w:t>
      </w:r>
    </w:p>
    <w:p>
      <w:pPr>
        <w:pStyle w:val="5"/>
        <w:spacing w:line="580" w:lineRule="exact"/>
        <w:ind w:firstLine="643"/>
      </w:pPr>
      <w:bookmarkStart w:id="108" w:name="_Toc48655552"/>
      <w:bookmarkStart w:id="109" w:name="_Toc49346280"/>
      <w:bookmarkStart w:id="110" w:name="_Toc48120434"/>
      <w:bookmarkStart w:id="111" w:name="_Toc46754153"/>
      <w:bookmarkStart w:id="112" w:name="_Toc46839974"/>
      <w:bookmarkStart w:id="113" w:name="_Toc48126218"/>
      <w:bookmarkStart w:id="114" w:name="_Toc47536307"/>
      <w:bookmarkStart w:id="115" w:name="_Toc49346577"/>
      <w:bookmarkStart w:id="116" w:name="_Toc49348553"/>
      <w:bookmarkStart w:id="117" w:name="_Toc68550017"/>
      <w:r>
        <w:t>3.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>
        <w:t>创新专利许可转让机制，促进专利技术转移转化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17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加速滨海新区企业与高校院所的技术合作。支持高校院所开展专利技术转移转化，盘活高校院所</w:t>
      </w:r>
      <w:r>
        <w:rPr>
          <w:rFonts w:hint="eastAsia" w:hAnsi="Times New Roman" w:cs="Times New Roman"/>
          <w:color w:val="000000"/>
          <w:sz w:val="32"/>
          <w:szCs w:val="32"/>
        </w:rPr>
        <w:t>“沉睡专利”</w:t>
      </w:r>
      <w:r>
        <w:rPr>
          <w:rFonts w:ascii="Times New Roman" w:hAnsi="Times New Roman" w:cs="Times New Roman"/>
          <w:color w:val="000000"/>
          <w:sz w:val="32"/>
          <w:szCs w:val="32"/>
        </w:rPr>
        <w:t>，收储流转企业</w:t>
      </w:r>
      <w:r>
        <w:rPr>
          <w:rFonts w:hint="eastAsia" w:hAnsi="Times New Roman" w:cs="Times New Roman"/>
          <w:color w:val="000000"/>
          <w:sz w:val="32"/>
          <w:szCs w:val="32"/>
        </w:rPr>
        <w:t>“放弃专利”</w:t>
      </w:r>
      <w:r>
        <w:rPr>
          <w:rFonts w:ascii="Times New Roman" w:hAnsi="Times New Roman" w:cs="Times New Roman"/>
          <w:color w:val="000000"/>
          <w:sz w:val="32"/>
          <w:szCs w:val="32"/>
        </w:rPr>
        <w:t>，为中小企业筛选符合需求的专利技术。创新许可、转让模式，推动</w:t>
      </w:r>
      <w:r>
        <w:rPr>
          <w:rFonts w:hint="eastAsia" w:hAnsi="Times New Roman" w:cs="Times New Roman"/>
          <w:color w:val="000000"/>
          <w:sz w:val="32"/>
          <w:szCs w:val="32"/>
        </w:rPr>
        <w:t>“开放许可”</w:t>
      </w:r>
      <w:r>
        <w:rPr>
          <w:rFonts w:ascii="Times New Roman" w:hAnsi="Times New Roman" w:cs="Times New Roman"/>
          <w:color w:val="000000"/>
          <w:sz w:val="32"/>
          <w:szCs w:val="32"/>
        </w:rPr>
        <w:t>，降低创新主体专利技术获取门槛。支持滨海新区产业（人才）联盟转化高校院所专利技术。建立高校院所向企业转让、许可专利的业务办理绿色通道。推广技术经理人、技术经纪人全程参与的专利成果转化服务模式。到2025年，技术合同登记额</w:t>
      </w:r>
      <w:r>
        <w:rPr>
          <w:rFonts w:hint="eastAsia" w:ascii="Times New Roman" w:hAnsi="Times New Roman" w:cs="Times New Roman"/>
          <w:color w:val="000000"/>
          <w:sz w:val="32"/>
          <w:szCs w:val="32"/>
        </w:rPr>
        <w:t>达到</w:t>
      </w:r>
      <w:r>
        <w:rPr>
          <w:rFonts w:ascii="Times New Roman" w:hAnsi="Times New Roman" w:cs="Times New Roman"/>
          <w:color w:val="000000"/>
          <w:sz w:val="32"/>
          <w:szCs w:val="32"/>
        </w:rPr>
        <w:t>500亿元，累计支持200家企业成功转化高校院所专利技术。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（责任单位：区市场监管局，区委组织部，区科技局，区教体局，各开发区，各街镇，区知识产权保护中心）</w:t>
      </w:r>
    </w:p>
    <w:p>
      <w:pPr>
        <w:pStyle w:val="5"/>
        <w:spacing w:line="580" w:lineRule="exact"/>
        <w:ind w:firstLine="643"/>
        <w:rPr>
          <w:color w:val="008000"/>
        </w:rPr>
      </w:pPr>
      <w:bookmarkStart w:id="118" w:name="_Toc66730451"/>
      <w:bookmarkStart w:id="119" w:name="_Toc68550018"/>
      <w:r>
        <w:t>4.强化知识产权融资创新，支持发行知识产权证券</w:t>
      </w:r>
      <w:bookmarkEnd w:id="118"/>
      <w:bookmarkEnd w:id="119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财政出资设立知识产权质押融资风险补偿资金，</w:t>
      </w:r>
      <w:r>
        <w:rPr>
          <w:rFonts w:ascii="Times New Roman" w:hAnsi="Times New Roman" w:cs="Times New Roman"/>
          <w:bCs/>
          <w:sz w:val="32"/>
          <w:szCs w:val="32"/>
        </w:rPr>
        <w:t>建立政府引导，评估机构、保险机构等多方参与的知识产权融资风险共担机制。实施知识产权融资补助政策，拓宽知识产权融资渠道，扩大知识产权融资规模。财政出资作为</w:t>
      </w:r>
      <w:r>
        <w:rPr>
          <w:rFonts w:ascii="Times New Roman" w:hAnsi="Times New Roman" w:cs="Times New Roman"/>
          <w:sz w:val="32"/>
          <w:szCs w:val="32"/>
        </w:rPr>
        <w:t>知识产权引导基金，带动滨海新区产业龙头企业、高校院所、科研机构等社会资金和其他相关基金投入放大基金池，主要以股权投资方式支持有自主知识产权的创新型企业、知识产权转移转化项目</w:t>
      </w:r>
      <w:r>
        <w:rPr>
          <w:rFonts w:ascii="Times New Roman" w:hAnsi="Times New Roman" w:cs="Times New Roman"/>
          <w:bCs/>
          <w:sz w:val="32"/>
          <w:szCs w:val="32"/>
        </w:rPr>
        <w:t>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（责任单位：区市场监管局，区财政局，区金融局，区国资委，区发改委，各开发区，各街镇）</w:t>
      </w:r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围绕各开发区和街镇优势产业，以产业集群高价值专利组合为基础，支持金融服务机构牵头构建知识产权证券化底层资产，积极复制借鉴现有成熟经验，推行具有滨海新区特色的知识产权证券化模式，发行</w:t>
      </w:r>
      <w:r>
        <w:rPr>
          <w:rFonts w:ascii="Times New Roman" w:hAnsi="Times New Roman" w:cs="Times New Roman"/>
          <w:sz w:val="32"/>
          <w:szCs w:val="32"/>
        </w:rPr>
        <w:t>融资租赁、许可分期等模式的证券化产品</w:t>
      </w:r>
      <w:r>
        <w:rPr>
          <w:rFonts w:ascii="Times New Roman" w:hAnsi="Times New Roman" w:cs="Times New Roman"/>
          <w:bCs/>
          <w:sz w:val="32"/>
          <w:szCs w:val="32"/>
        </w:rPr>
        <w:t>4单以上。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（责任单位：区市场监管局，区金融局，各开发区，各街镇）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120" w:name="_Toc68550019"/>
      <w:r>
        <w:rPr>
          <w:rFonts w:hint="eastAsia" w:ascii="楷体" w:hAnsi="楷体" w:eastAsia="楷体" w:cs="楷体"/>
          <w:szCs w:val="32"/>
        </w:rPr>
        <w:t>（四）深化知识产权高水平治理</w:t>
      </w:r>
      <w:bookmarkEnd w:id="120"/>
    </w:p>
    <w:p>
      <w:pPr>
        <w:pStyle w:val="5"/>
        <w:spacing w:line="580" w:lineRule="exact"/>
        <w:ind w:firstLine="643"/>
      </w:pPr>
      <w:bookmarkStart w:id="121" w:name="_Toc68550020"/>
      <w:r>
        <w:t>1.完善知识产权政策体系，推进知识产权改革创新</w:t>
      </w:r>
      <w:bookmarkEnd w:id="121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将知识产权工作纳入全区各部门党政绩效考核目标。出台《天津市滨海新区知识产权专项资金管理办法》《滨海新区进一步促进知识产权高质量发展的实施意见》《滨海新区进一步完善专利导航决策机制的指导意见》《滨海新区专利密集型产品认定管理办法》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《滨海新区地理标志运用促进工程实施行动计划》</w:t>
      </w:r>
      <w:r>
        <w:rPr>
          <w:rFonts w:ascii="Times New Roman" w:hAnsi="Times New Roman" w:cs="Times New Roman"/>
          <w:color w:val="000000"/>
          <w:sz w:val="32"/>
          <w:szCs w:val="32"/>
        </w:rPr>
        <w:t>。建立城市专利密集型产业增加值统计制度、地理标志产品产值统计制度。将专利密集型产业纳入鼓励发展的产业范围，加大对专利密集型产业知识产权融资支持力度。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（责任单位：区知识产权工作领导小组各成员单位）</w:t>
      </w:r>
    </w:p>
    <w:p>
      <w:pPr>
        <w:pStyle w:val="5"/>
        <w:spacing w:line="580" w:lineRule="exact"/>
        <w:ind w:firstLine="643"/>
      </w:pPr>
      <w:bookmarkStart w:id="122" w:name="_Toc49346566"/>
      <w:bookmarkStart w:id="123" w:name="_Toc49346269"/>
      <w:bookmarkStart w:id="124" w:name="_Toc48126207"/>
      <w:bookmarkStart w:id="125" w:name="_Toc49348544"/>
      <w:bookmarkStart w:id="126" w:name="_Toc48655541"/>
      <w:bookmarkStart w:id="127" w:name="_Toc68550021"/>
      <w:r>
        <w:t>2</w:t>
      </w:r>
      <w:bookmarkEnd w:id="122"/>
      <w:bookmarkEnd w:id="123"/>
      <w:bookmarkEnd w:id="124"/>
      <w:bookmarkEnd w:id="125"/>
      <w:bookmarkEnd w:id="126"/>
      <w:r>
        <w:t>.构建创新能力评价体系，</w:t>
      </w:r>
      <w:bookmarkStart w:id="128" w:name="_Toc48126220"/>
      <w:bookmarkStart w:id="129" w:name="_Toc48655554"/>
      <w:bookmarkStart w:id="130" w:name="_Toc49348555"/>
      <w:bookmarkStart w:id="131" w:name="_Toc47536309"/>
      <w:bookmarkStart w:id="132" w:name="_Toc49346282"/>
      <w:bookmarkStart w:id="133" w:name="_Toc49346579"/>
      <w:bookmarkStart w:id="134" w:name="_Toc46839976"/>
      <w:bookmarkStart w:id="135" w:name="_Toc46754155"/>
      <w:bookmarkStart w:id="136" w:name="_Toc48120436"/>
      <w:r>
        <w:t>建立园区集合授信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>
        <w:t>机制</w:t>
      </w:r>
      <w:bookmarkEnd w:id="127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加强银行、资产评估机构、创新主体联动，简化小额授信审批手续，提高授信审批效率。建立由金融机构、知识产权服务机构牵头，以知识产权为核心要素，以技术、人才、产品、信用为配套指标的企业创新能力评价体系，形成以知识产权为核心的创新能力评价机制，为滨海新区企业知识产权质押融资、园区集合授信等提供技术支撑。支持知识产权密集型产业园区与金融机构、知识产权服务机构合作，加快形成多方参与的园区知识产权金融服务体系，开展面向园区产业专利集群、区域商标品牌的知识产权质押融资集合授信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（责任单位：区市场监管局，区金融局，各开发区，各街镇）</w:t>
      </w:r>
    </w:p>
    <w:p>
      <w:pPr>
        <w:pStyle w:val="5"/>
        <w:spacing w:line="580" w:lineRule="exact"/>
        <w:ind w:firstLine="643"/>
      </w:pPr>
      <w:bookmarkStart w:id="137" w:name="_Toc64732663"/>
      <w:bookmarkStart w:id="138" w:name="_Toc68550022"/>
      <w:r>
        <w:t>3.</w:t>
      </w:r>
      <w:bookmarkEnd w:id="137"/>
      <w:r>
        <w:t>创新知识产权金融政策，加快融资租赁试点建设</w:t>
      </w:r>
      <w:bookmarkEnd w:id="138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创新知识产权金融政策，建立知识产权证券化的资产确认、价值评估、增信担保、信用评级、维权保护、风险处置等操作规范。加强知识产权融资服务创新，联合银行机构研究扩大知识产权质押物范围，支持无形资产打包组合融资，提升企业知识产权复合型价值，扩大融资额度。发挥天津自贸试验区政策优势，依托东疆保税港区融资租赁产业资源，支持</w:t>
      </w:r>
      <w:bookmarkStart w:id="139" w:name="_Hlk55897582"/>
      <w:r>
        <w:rPr>
          <w:rFonts w:ascii="Times New Roman" w:hAnsi="Times New Roman" w:cs="Times New Roman"/>
          <w:sz w:val="32"/>
          <w:szCs w:val="32"/>
        </w:rPr>
        <w:t>园区开展知识产权融资租赁试点工作，</w:t>
      </w:r>
      <w:bookmarkEnd w:id="139"/>
      <w:r>
        <w:rPr>
          <w:rFonts w:ascii="Times New Roman" w:hAnsi="Times New Roman" w:cs="Times New Roman"/>
          <w:sz w:val="32"/>
          <w:szCs w:val="32"/>
        </w:rPr>
        <w:t>拓宽企业知识产权融资路径。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（责任单位：区市场监管局，区金融局，区国资委，区财政局，</w:t>
      </w:r>
      <w:r>
        <w:rPr>
          <w:rFonts w:hint="eastAsia" w:ascii="Times New Roman" w:hAnsi="Times New Roman" w:cs="Times New Roman"/>
          <w:b/>
          <w:sz w:val="32"/>
          <w:szCs w:val="32"/>
          <w:lang w:val="en-US"/>
        </w:rPr>
        <w:t>人民银行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/>
        </w:rPr>
        <w:t>滨海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新区中心支行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</w:rPr>
        <w:t>，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/>
        </w:rPr>
        <w:t>滨海银保监分局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</w:rPr>
        <w:t>，天津自贸办，各开发区，各街镇）</w:t>
      </w:r>
    </w:p>
    <w:p>
      <w:pPr>
        <w:pStyle w:val="5"/>
        <w:spacing w:line="580" w:lineRule="exact"/>
        <w:ind w:firstLine="643"/>
      </w:pPr>
      <w:bookmarkStart w:id="140" w:name="_Toc68550023"/>
      <w:r>
        <w:t>4.强化知识产权信用监管，促进服务机构规范发展</w:t>
      </w:r>
      <w:bookmarkEnd w:id="140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出台知识产权服务行业分级分类监管办法，推动建立知识产权服务自律机制，促进知识产权服务机构规范发展。加强对不以保护创新为目的知识产权非正常申请、明显不以技术创新和实施为目的知识产权非正常交易行为的监管，加强对严重违法失信知识产权服务机构、创新主体的协同治理，在有关激励奖励政策、行业评优评奖等方面予以联动约束，强化监管效果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（责任单位：区市场监管局，区公安局，各开发区，各街镇，区知识产权保护中心）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141" w:name="_Toc68550024"/>
      <w:r>
        <w:rPr>
          <w:rFonts w:hint="eastAsia" w:ascii="楷体" w:hAnsi="楷体" w:eastAsia="楷体" w:cs="楷体"/>
          <w:szCs w:val="32"/>
        </w:rPr>
        <w:t>（五）实现知识产权高效率服务</w:t>
      </w:r>
      <w:bookmarkEnd w:id="141"/>
    </w:p>
    <w:p>
      <w:pPr>
        <w:pStyle w:val="5"/>
        <w:spacing w:line="580" w:lineRule="exact"/>
        <w:ind w:firstLine="643"/>
      </w:pPr>
      <w:bookmarkStart w:id="142" w:name="_Toc49346581"/>
      <w:bookmarkStart w:id="143" w:name="_Toc49348557"/>
      <w:bookmarkStart w:id="144" w:name="_Toc48126222"/>
      <w:bookmarkStart w:id="145" w:name="_Toc49346284"/>
      <w:bookmarkStart w:id="146" w:name="_Toc47536311"/>
      <w:bookmarkStart w:id="147" w:name="_Toc48655556"/>
      <w:bookmarkStart w:id="148" w:name="_Toc48120438"/>
      <w:bookmarkStart w:id="149" w:name="_Toc68550025"/>
      <w:r>
        <w:t>1.创建国家服务业集聚区</w:t>
      </w:r>
      <w:bookmarkEnd w:id="142"/>
      <w:bookmarkEnd w:id="143"/>
      <w:bookmarkEnd w:id="144"/>
      <w:bookmarkEnd w:id="145"/>
      <w:bookmarkEnd w:id="146"/>
      <w:bookmarkEnd w:id="147"/>
      <w:bookmarkEnd w:id="148"/>
      <w:r>
        <w:t>，打造高效服务生态系统</w:t>
      </w:r>
      <w:bookmarkEnd w:id="149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采用</w:t>
      </w:r>
      <w:r>
        <w:rPr>
          <w:rFonts w:hint="eastAsia" w:hAnsi="Times New Roman" w:cs="Times New Roman"/>
          <w:color w:val="000000"/>
          <w:sz w:val="32"/>
          <w:szCs w:val="32"/>
        </w:rPr>
        <w:t>“</w:t>
      </w:r>
      <w:r>
        <w:rPr>
          <w:rFonts w:ascii="Times New Roman" w:hAnsi="Times New Roman" w:cs="Times New Roman"/>
          <w:color w:val="000000"/>
          <w:sz w:val="32"/>
          <w:szCs w:val="32"/>
        </w:rPr>
        <w:t>1+2+2+N</w:t>
      </w:r>
      <w:r>
        <w:rPr>
          <w:rFonts w:hint="eastAsia" w:hAnsi="Times New Roman" w:cs="Times New Roman"/>
          <w:color w:val="000000"/>
          <w:sz w:val="32"/>
          <w:szCs w:val="32"/>
        </w:rPr>
        <w:t>”</w:t>
      </w:r>
      <w:r>
        <w:rPr>
          <w:rFonts w:ascii="Times New Roman" w:hAnsi="Times New Roman" w:cs="Times New Roman"/>
          <w:color w:val="000000"/>
          <w:sz w:val="32"/>
          <w:szCs w:val="32"/>
        </w:rPr>
        <w:t>模式创建滨海新区国家知识产权服务业集聚区，提供全方位知识产权服务，实现企业解决知识产权问题</w:t>
      </w:r>
      <w:r>
        <w:rPr>
          <w:rFonts w:hint="eastAsia" w:hAnsi="Times New Roman" w:cs="Times New Roman"/>
          <w:color w:val="000000"/>
          <w:sz w:val="32"/>
          <w:szCs w:val="32"/>
        </w:rPr>
        <w:t>“最多跑一地”</w:t>
      </w:r>
      <w:r>
        <w:rPr>
          <w:rFonts w:ascii="Times New Roman" w:hAnsi="Times New Roman" w:cs="Times New Roman"/>
          <w:color w:val="000000"/>
          <w:sz w:val="32"/>
          <w:szCs w:val="32"/>
        </w:rPr>
        <w:t>。高标准建成高新区国家级集聚园区、经开区和保税区市级集聚园区、东疆保税港区和天津中新生态城区级集聚园区，建立N个产业园区知识产权服务站，形成全区知识产权服务</w:t>
      </w:r>
      <w:r>
        <w:rPr>
          <w:rFonts w:hint="eastAsia" w:hAnsi="Times New Roman" w:cs="Times New Roman"/>
          <w:color w:val="000000"/>
          <w:sz w:val="32"/>
          <w:szCs w:val="32"/>
        </w:rPr>
        <w:t>“一张网”</w:t>
      </w:r>
      <w:r>
        <w:rPr>
          <w:rFonts w:ascii="Times New Roman" w:hAnsi="Times New Roman" w:cs="Times New Roman"/>
          <w:color w:val="000000"/>
          <w:sz w:val="32"/>
          <w:szCs w:val="32"/>
        </w:rPr>
        <w:t>。</w:t>
      </w:r>
      <w:r>
        <w:rPr>
          <w:rFonts w:ascii="Times New Roman" w:hAnsi="Times New Roman" w:cs="Times New Roman"/>
          <w:sz w:val="32"/>
          <w:szCs w:val="32"/>
        </w:rPr>
        <w:t>引进扶持100家专业化、市场化、复合型的知识产权服务机构，建成</w:t>
      </w:r>
      <w:r>
        <w:rPr>
          <w:rFonts w:ascii="Times New Roman" w:hAnsi="Times New Roman" w:cs="Times New Roman"/>
          <w:color w:val="000000"/>
          <w:sz w:val="32"/>
          <w:szCs w:val="32"/>
        </w:rPr>
        <w:t>滨海新区知识产权融资服务</w:t>
      </w:r>
      <w:r>
        <w:rPr>
          <w:rFonts w:hint="eastAsia" w:hAnsi="Times New Roman" w:cs="Times New Roman"/>
          <w:color w:val="000000"/>
          <w:sz w:val="32"/>
          <w:szCs w:val="32"/>
        </w:rPr>
        <w:t>“一站式基地”</w:t>
      </w:r>
      <w:r>
        <w:rPr>
          <w:rFonts w:ascii="Times New Roman" w:hAnsi="Times New Roman" w:cs="Times New Roman"/>
          <w:color w:val="000000"/>
          <w:sz w:val="32"/>
          <w:szCs w:val="32"/>
        </w:rPr>
        <w:t>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（责任单位：区市场监管局，区商务和投促局，区金融局，各开发区，各街镇）</w:t>
      </w:r>
    </w:p>
    <w:p>
      <w:pPr>
        <w:pStyle w:val="5"/>
        <w:spacing w:line="580" w:lineRule="exact"/>
        <w:ind w:firstLine="643"/>
      </w:pPr>
      <w:bookmarkStart w:id="150" w:name="_Toc48655557"/>
      <w:bookmarkStart w:id="151" w:name="_Toc48120439"/>
      <w:bookmarkStart w:id="152" w:name="_Toc49346285"/>
      <w:bookmarkStart w:id="153" w:name="_Toc68550026"/>
      <w:bookmarkStart w:id="154" w:name="_Toc49348558"/>
      <w:bookmarkStart w:id="155" w:name="_Toc49346582"/>
      <w:bookmarkStart w:id="156" w:name="_Toc47536312"/>
      <w:bookmarkStart w:id="157" w:name="_Toc48126223"/>
      <w:r>
        <w:t>2.搭建运营公共服务平台，建设专业数据服务中心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支持服务机构搭建滨海新区知识产权运营公共服务平台，重点构建知识产权</w:t>
      </w:r>
      <w:r>
        <w:rPr>
          <w:rFonts w:ascii="Times New Roman" w:hAnsi="Times New Roman" w:cs="Times New Roman"/>
          <w:sz w:val="32"/>
          <w:szCs w:val="32"/>
        </w:rPr>
        <w:t>项目申报、市场执法监管监测等服务系统，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打造线上线下一体化知识产权公共服务网络，搭建滨海新区知识产权成果展示空间，开展技术对接、人才培训等服务工作。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（责任单位：区市场监管局，区知识产权保护中心，区人社局，各开发区，各街镇）</w:t>
      </w:r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支持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服务平台</w:t>
      </w:r>
      <w:r>
        <w:rPr>
          <w:rFonts w:ascii="Times New Roman" w:hAnsi="Times New Roman" w:cs="Times New Roman"/>
          <w:sz w:val="32"/>
          <w:szCs w:val="32"/>
        </w:rPr>
        <w:t>建设滨海新区知识产权专业数据服务中心，包含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统计分析数据动态更新检索系统</w:t>
      </w:r>
      <w:r>
        <w:rPr>
          <w:rFonts w:ascii="Times New Roman" w:hAnsi="Times New Roman" w:cs="Times New Roman"/>
          <w:sz w:val="32"/>
          <w:szCs w:val="32"/>
        </w:rPr>
        <w:t>、价值评估、质押融资、知识产权交易、产业专题库、导航分析、统计监测及可视化、决策分析集成等功能模块。</w:t>
      </w:r>
      <w:r>
        <w:rPr>
          <w:rFonts w:ascii="Times New Roman" w:hAnsi="Times New Roman" w:cs="Times New Roman"/>
          <w:bCs/>
          <w:sz w:val="32"/>
          <w:szCs w:val="32"/>
        </w:rPr>
        <w:t>充分利用知识产权基础数据库、产业特色数据库</w:t>
      </w:r>
      <w:r>
        <w:rPr>
          <w:rFonts w:ascii="Times New Roman" w:hAnsi="Times New Roman" w:cs="Times New Roman"/>
          <w:bCs/>
          <w:sz w:val="32"/>
          <w:szCs w:val="32"/>
          <w:lang w:val="en-US"/>
        </w:rPr>
        <w:t>与</w:t>
      </w:r>
      <w:r>
        <w:rPr>
          <w:rFonts w:ascii="Times New Roman" w:hAnsi="Times New Roman" w:cs="Times New Roman"/>
          <w:bCs/>
          <w:sz w:val="32"/>
          <w:szCs w:val="32"/>
        </w:rPr>
        <w:t>企业登记数据库、高新技术企业培育库等多库联动，形成</w:t>
      </w:r>
      <w:r>
        <w:rPr>
          <w:rFonts w:ascii="Times New Roman" w:hAnsi="Times New Roman" w:cs="Times New Roman"/>
          <w:bCs/>
          <w:sz w:val="32"/>
          <w:szCs w:val="32"/>
          <w:lang w:val="en-US"/>
        </w:rPr>
        <w:t>创新主体</w:t>
      </w:r>
      <w:r>
        <w:rPr>
          <w:rFonts w:ascii="Times New Roman" w:hAnsi="Times New Roman" w:cs="Times New Roman"/>
          <w:bCs/>
          <w:sz w:val="32"/>
          <w:szCs w:val="32"/>
        </w:rPr>
        <w:t>发展动态跟踪机制。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（责任单位：区市场监管局，区知识产权保护中心，区人社局，各开发区，各街镇）</w:t>
      </w:r>
    </w:p>
    <w:p>
      <w:pPr>
        <w:pStyle w:val="5"/>
        <w:spacing w:line="580" w:lineRule="exact"/>
        <w:ind w:firstLine="643"/>
      </w:pPr>
      <w:bookmarkStart w:id="158" w:name="_Toc68550027"/>
      <w:bookmarkStart w:id="159" w:name="_Toc49348559"/>
      <w:bookmarkStart w:id="160" w:name="_Toc49346286"/>
      <w:bookmarkStart w:id="161" w:name="_Toc48126224"/>
      <w:bookmarkStart w:id="162" w:name="_Toc48120440"/>
      <w:bookmarkStart w:id="163" w:name="_Toc49346583"/>
      <w:bookmarkStart w:id="164" w:name="_Toc47536313"/>
      <w:bookmarkStart w:id="165" w:name="_Toc48655558"/>
      <w:r>
        <w:t>3.推进知识产权托管服务，助推科技企业创新发展</w:t>
      </w:r>
      <w:bookmarkEnd w:id="158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建立由知识产权运营服务平台、知识产权服务机构、中小微科技企业共同参与的知识产权托管服务体系，免费开展知识产权咨询、代理、维权等，推动滨海新区企业、高校院所和科研机构开展知识产权管理规范贯标、专利技术合作。助推中小企业在科创板、</w:t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创业板</w:t>
      </w:r>
      <w:r>
        <w:rPr>
          <w:rFonts w:ascii="Times New Roman" w:hAnsi="Times New Roman" w:cs="Times New Roman"/>
          <w:color w:val="000000"/>
          <w:sz w:val="32"/>
          <w:szCs w:val="32"/>
        </w:rPr>
        <w:t>上市，协助企业通过高新技术企业认证。到2025年，通过知识产权贯标认证的企事业单位达到800家，托管服务覆盖企业1500家。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（责任单位：区市场监管局，区教体局，区财政局，区国资委，</w:t>
      </w:r>
      <w:r>
        <w:rPr>
          <w:rFonts w:hint="eastAsia" w:ascii="Times New Roman" w:hAnsi="Times New Roman" w:cs="Times New Roman"/>
          <w:b/>
          <w:sz w:val="32"/>
          <w:szCs w:val="32"/>
          <w:lang w:val="en-US"/>
        </w:rPr>
        <w:t>区税务局，</w:t>
      </w:r>
      <w:r>
        <w:rPr>
          <w:rFonts w:hint="eastAsia" w:ascii="Times New Roman" w:hAnsi="Times New Roman" w:cs="Times New Roman"/>
          <w:b/>
          <w:sz w:val="32"/>
          <w:szCs w:val="32"/>
        </w:rPr>
        <w:t>区金融局，</w:t>
      </w:r>
      <w:r>
        <w:rPr>
          <w:rFonts w:hint="eastAsia" w:ascii="Times New Roman" w:hAnsi="Times New Roman" w:cs="Times New Roman"/>
          <w:b/>
          <w:sz w:val="32"/>
          <w:szCs w:val="32"/>
          <w:lang w:val="en-US"/>
        </w:rPr>
        <w:t>区科技局，</w:t>
      </w:r>
      <w:r>
        <w:rPr>
          <w:rFonts w:hint="eastAsia" w:ascii="Times New Roman" w:hAnsi="Times New Roman" w:cs="Times New Roman"/>
          <w:b/>
          <w:sz w:val="32"/>
          <w:szCs w:val="32"/>
        </w:rPr>
        <w:t>各开发区，各街镇）</w:t>
      </w:r>
    </w:p>
    <w:bookmarkEnd w:id="159"/>
    <w:bookmarkEnd w:id="160"/>
    <w:bookmarkEnd w:id="161"/>
    <w:bookmarkEnd w:id="162"/>
    <w:bookmarkEnd w:id="163"/>
    <w:bookmarkEnd w:id="164"/>
    <w:bookmarkEnd w:id="165"/>
    <w:p>
      <w:pPr>
        <w:pStyle w:val="5"/>
        <w:spacing w:line="580" w:lineRule="exact"/>
        <w:ind w:firstLine="643"/>
      </w:pPr>
      <w:bookmarkStart w:id="166" w:name="_Toc47536314"/>
      <w:bookmarkStart w:id="167" w:name="_Toc48655559"/>
      <w:bookmarkStart w:id="168" w:name="_Toc49346287"/>
      <w:bookmarkStart w:id="169" w:name="_Toc49348560"/>
      <w:bookmarkStart w:id="170" w:name="_Toc49346584"/>
      <w:bookmarkStart w:id="171" w:name="_Toc48126225"/>
      <w:bookmarkStart w:id="172" w:name="_Toc48120441"/>
      <w:bookmarkStart w:id="173" w:name="_Toc68550028"/>
      <w:r>
        <w:t>4.加强专业人才队伍建设</w:t>
      </w:r>
      <w:bookmarkEnd w:id="166"/>
      <w:bookmarkEnd w:id="167"/>
      <w:bookmarkEnd w:id="168"/>
      <w:bookmarkEnd w:id="169"/>
      <w:bookmarkEnd w:id="170"/>
      <w:bookmarkEnd w:id="171"/>
      <w:bookmarkEnd w:id="172"/>
      <w:r>
        <w:t>，涵养知识产权价值文化</w:t>
      </w:r>
      <w:bookmarkEnd w:id="173"/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鼓励知识产权服务机构吸纳就业，组织服务机构与高校毕业生对接。完善</w:t>
      </w:r>
      <w:r>
        <w:rPr>
          <w:rFonts w:ascii="Times New Roman" w:hAnsi="Times New Roman" w:cs="Times New Roman"/>
          <w:color w:val="000000"/>
          <w:sz w:val="32"/>
          <w:szCs w:val="32"/>
        </w:rPr>
        <w:t>滨海新区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知识产权人才培训体系和引进政策，联合</w:t>
      </w:r>
      <w:r>
        <w:rPr>
          <w:rFonts w:ascii="Times New Roman" w:hAnsi="Times New Roman" w:cs="Times New Roman"/>
          <w:bCs/>
          <w:color w:val="000000"/>
          <w:sz w:val="32"/>
          <w:szCs w:val="32"/>
          <w:lang w:val="en-US"/>
        </w:rPr>
        <w:t>高校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建立知识产权法治研究基地和知识产权研究生培养实习基地，培养知识产权法律和管理人才。</w:t>
      </w:r>
      <w:r>
        <w:rPr>
          <w:rFonts w:ascii="Times New Roman" w:hAnsi="Times New Roman" w:cs="Times New Roman"/>
          <w:kern w:val="2"/>
          <w:sz w:val="32"/>
          <w:szCs w:val="32"/>
        </w:rPr>
        <w:t>组织举办100场高层次专业培训</w:t>
      </w:r>
      <w:r>
        <w:rPr>
          <w:rFonts w:ascii="Times New Roman" w:hAnsi="Times New Roman" w:cs="Times New Roman"/>
          <w:bCs/>
          <w:sz w:val="32"/>
          <w:szCs w:val="32"/>
        </w:rPr>
        <w:t>，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培育引进各类知识产权人才500人，形成高素质、复合型、国际化知识产权人才队伍。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（责任单位：区市场监管局，区教体局，区人社局，区商务和投促局，各开发区，各街镇，区知识产权保护中心）</w:t>
      </w:r>
    </w:p>
    <w:p>
      <w:pPr>
        <w:spacing w:line="580" w:lineRule="exact"/>
        <w:ind w:firstLine="640" w:firstLineChars="20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建设滨海新区知识产权科普基地，大力开展知识产权宣传活动，充分利用电视、报纸、网络、移动终端等媒体，</w:t>
      </w:r>
      <w:r>
        <w:rPr>
          <w:rFonts w:ascii="Times New Roman" w:hAnsi="Times New Roman" w:cs="Times New Roman"/>
          <w:sz w:val="32"/>
          <w:szCs w:val="32"/>
        </w:rPr>
        <w:t>以知识产权宣传日为契机，开展系列活动。开展知识产权保护进企业、进机关、进社区、进学校、进网络等活动，提高全社会知识产权保护意识，打造尊重知识价值、崇尚创新、诚信守法的知识产权保护环境。</w:t>
      </w:r>
      <w:r>
        <w:rPr>
          <w:rFonts w:hint="eastAsia" w:ascii="Times New Roman" w:hAnsi="Times New Roman" w:cs="Times New Roman"/>
          <w:b/>
          <w:sz w:val="32"/>
          <w:szCs w:val="32"/>
        </w:rPr>
        <w:t>（责任单位：区知识产权工作领导小组各成员单位）</w:t>
      </w:r>
    </w:p>
    <w:p>
      <w:pPr>
        <w:pStyle w:val="3"/>
        <w:spacing w:beforeLines="50" w:afterLines="50" w:line="580" w:lineRule="exact"/>
        <w:ind w:firstLine="640"/>
      </w:pPr>
      <w:bookmarkStart w:id="174" w:name="_Toc68550029"/>
      <w:r>
        <w:t>五、保障措施</w:t>
      </w:r>
      <w:bookmarkEnd w:id="174"/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175" w:name="_Toc68550030"/>
      <w:bookmarkStart w:id="176" w:name="_Toc39427696"/>
      <w:bookmarkStart w:id="177" w:name="_Toc49348562"/>
      <w:bookmarkStart w:id="178" w:name="_Toc8217693"/>
      <w:bookmarkStart w:id="179" w:name="_Toc8948710"/>
      <w:bookmarkStart w:id="180" w:name="_Toc8949374"/>
      <w:bookmarkStart w:id="181" w:name="_Toc8950646"/>
      <w:bookmarkStart w:id="182" w:name="_Toc8949752"/>
      <w:bookmarkStart w:id="183" w:name="_Toc8204837"/>
      <w:bookmarkStart w:id="184" w:name="_Toc8906465"/>
      <w:bookmarkStart w:id="185" w:name="_Toc8949269"/>
      <w:r>
        <w:rPr>
          <w:rFonts w:hint="eastAsia" w:ascii="楷体" w:hAnsi="楷体" w:eastAsia="楷体" w:cs="楷体"/>
          <w:szCs w:val="32"/>
        </w:rPr>
        <w:t>（一）加强组织领导</w:t>
      </w:r>
      <w:bookmarkEnd w:id="175"/>
    </w:p>
    <w:p>
      <w:pPr>
        <w:adjustRightInd w:val="0"/>
        <w:ind w:firstLine="640" w:firstLineChars="200"/>
        <w:rPr>
          <w:rFonts w:ascii="Times New Roman" w:hAnsi="Times New Roman" w:cs="Times New Roman"/>
          <w:color w:val="000000"/>
          <w:sz w:val="32"/>
          <w:szCs w:val="32"/>
        </w:rPr>
      </w:pPr>
      <w:bookmarkStart w:id="186" w:name="_Toc49348563"/>
      <w:r>
        <w:rPr>
          <w:rFonts w:hint="eastAsia" w:ascii="Times New Roman" w:hAnsi="Times New Roman" w:cs="Times New Roman"/>
          <w:color w:val="000000"/>
          <w:sz w:val="32"/>
          <w:szCs w:val="32"/>
        </w:rPr>
        <w:t>加强党对知识产权工作的领导，</w:t>
      </w:r>
      <w:r>
        <w:rPr>
          <w:rFonts w:ascii="Times New Roman" w:hAnsi="Times New Roman" w:cs="Times New Roman"/>
          <w:color w:val="000000"/>
          <w:sz w:val="32"/>
          <w:szCs w:val="32"/>
        </w:rPr>
        <w:t>将知识产权工作纳入各级</w:t>
      </w:r>
      <w:r>
        <w:rPr>
          <w:rFonts w:ascii="Times New Roman" w:hAnsi="Times New Roman" w:cs="Times New Roman"/>
          <w:sz w:val="32"/>
          <w:szCs w:val="32"/>
        </w:rPr>
        <w:t>党政重要议事日程</w:t>
      </w:r>
      <w:r>
        <w:rPr>
          <w:rFonts w:ascii="Times New Roman" w:hAnsi="Times New Roman" w:cs="Times New Roman"/>
          <w:color w:val="000000"/>
          <w:sz w:val="32"/>
          <w:szCs w:val="32"/>
        </w:rPr>
        <w:t>，各开发区、各街镇、</w:t>
      </w:r>
      <w:r>
        <w:rPr>
          <w:rFonts w:ascii="Times New Roman" w:hAnsi="Times New Roman" w:cs="Times New Roman"/>
          <w:sz w:val="32"/>
          <w:szCs w:val="32"/>
        </w:rPr>
        <w:t>各部门要落实属地责任，</w:t>
      </w:r>
      <w:r>
        <w:rPr>
          <w:rFonts w:ascii="Times New Roman" w:hAnsi="Times New Roman" w:cs="Times New Roman"/>
          <w:color w:val="000000"/>
          <w:sz w:val="32"/>
          <w:szCs w:val="32"/>
        </w:rPr>
        <w:t>形成横向协作、上下联动的知识产权工作合力，形成各负其责、齐抓共管的知识产权工作格局，</w:t>
      </w:r>
      <w:bookmarkEnd w:id="186"/>
      <w:r>
        <w:rPr>
          <w:rFonts w:ascii="Times New Roman" w:hAnsi="Times New Roman" w:cs="Times New Roman"/>
          <w:sz w:val="32"/>
          <w:szCs w:val="32"/>
        </w:rPr>
        <w:t>为</w:t>
      </w:r>
      <w:r>
        <w:rPr>
          <w:rFonts w:ascii="Times New Roman" w:hAnsi="Times New Roman" w:cs="Times New Roman"/>
          <w:color w:val="000000"/>
          <w:sz w:val="32"/>
          <w:szCs w:val="32"/>
        </w:rPr>
        <w:t>规划的深入实施提供坚强有力的组织保障。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187" w:name="_Toc68550031"/>
      <w:r>
        <w:rPr>
          <w:rFonts w:hint="eastAsia" w:ascii="楷体" w:hAnsi="楷体" w:eastAsia="楷体" w:cs="楷体"/>
          <w:szCs w:val="32"/>
        </w:rPr>
        <w:t>（二）强化政策引导</w:t>
      </w:r>
      <w:bookmarkEnd w:id="187"/>
    </w:p>
    <w:p>
      <w:pPr>
        <w:adjustRightInd w:val="0"/>
        <w:spacing w:line="580" w:lineRule="exact"/>
        <w:ind w:firstLine="640" w:firstLineChars="200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深入落实《</w:t>
      </w:r>
      <w:r>
        <w:rPr>
          <w:rFonts w:ascii="Times New Roman" w:hAnsi="Times New Roman" w:cs="Times New Roman"/>
          <w:sz w:val="32"/>
          <w:szCs w:val="32"/>
          <w:lang w:val="en-US"/>
        </w:rPr>
        <w:t>天津市知识产权保护条例</w:t>
      </w:r>
      <w:r>
        <w:rPr>
          <w:rFonts w:ascii="Times New Roman" w:hAnsi="Times New Roman" w:cs="Times New Roman"/>
          <w:color w:val="000000"/>
          <w:sz w:val="32"/>
          <w:szCs w:val="32"/>
        </w:rPr>
        <w:t>》《滨海新区关于强化知识产权保护的实施意见》</w:t>
      </w:r>
      <w:r>
        <w:rPr>
          <w:rFonts w:ascii="Times New Roman" w:hAnsi="Times New Roman" w:cs="Times New Roman"/>
          <w:sz w:val="32"/>
          <w:szCs w:val="32"/>
          <w:lang w:val="en-US"/>
        </w:rPr>
        <w:t>，健全滨海新区知识产权政策体系。加大政策宣传贯彻力度，加强产业、科技、金融、贸易、人才等政策与知识产权政策的</w:t>
      </w:r>
      <w:r>
        <w:rPr>
          <w:rFonts w:ascii="Times New Roman" w:hAnsi="Times New Roman" w:cs="Times New Roman"/>
          <w:color w:val="000000"/>
          <w:sz w:val="32"/>
          <w:szCs w:val="32"/>
        </w:rPr>
        <w:t>衔接。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188" w:name="_Toc68550032"/>
      <w:r>
        <w:rPr>
          <w:rFonts w:hint="eastAsia" w:ascii="楷体" w:hAnsi="楷体" w:eastAsia="楷体" w:cs="楷体"/>
          <w:szCs w:val="32"/>
        </w:rPr>
        <w:t>（三）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8"/>
      <w:bookmarkStart w:id="189" w:name="_Toc8950647"/>
      <w:bookmarkStart w:id="190" w:name="_Toc8217694"/>
      <w:bookmarkStart w:id="191" w:name="_Toc8949753"/>
      <w:bookmarkStart w:id="192" w:name="_Toc68550033"/>
      <w:bookmarkStart w:id="193" w:name="_Toc49348564"/>
      <w:bookmarkStart w:id="194" w:name="_Toc39427697"/>
      <w:bookmarkStart w:id="195" w:name="_Toc8204838"/>
      <w:bookmarkStart w:id="196" w:name="_Toc8906466"/>
      <w:bookmarkStart w:id="197" w:name="_Toc8948711"/>
      <w:bookmarkStart w:id="198" w:name="_Toc8949375"/>
      <w:bookmarkStart w:id="199" w:name="_Toc8949270"/>
      <w:r>
        <w:rPr>
          <w:rFonts w:hint="eastAsia" w:ascii="楷体" w:hAnsi="楷体" w:eastAsia="楷体" w:cs="楷体"/>
          <w:szCs w:val="32"/>
        </w:rPr>
        <w:t>加大资金投入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>
      <w:pPr>
        <w:spacing w:line="580" w:lineRule="exact"/>
        <w:ind w:firstLine="643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设立知识产权工作专项资金，为知识产权工作提供经费保障。大力推进知识产权金融创新，鼓励支持金融机构通过评估、质押和担保等方式，加大对知识产权的风险投资和借贷资金注入，逐步形成政府引导、企业为主、社会参与的多元化资金投入格局，保障知识产权工作有效开展。</w:t>
      </w:r>
    </w:p>
    <w:p>
      <w:pPr>
        <w:pStyle w:val="4"/>
        <w:spacing w:beforeLines="50" w:afterLines="50" w:line="580" w:lineRule="exact"/>
        <w:ind w:firstLine="643"/>
        <w:rPr>
          <w:rFonts w:ascii="楷体" w:hAnsi="楷体" w:eastAsia="楷体" w:cs="楷体"/>
          <w:szCs w:val="32"/>
        </w:rPr>
      </w:pPr>
      <w:bookmarkStart w:id="200" w:name="_Toc8204841"/>
      <w:bookmarkStart w:id="201" w:name="_Toc68550034"/>
      <w:bookmarkStart w:id="202" w:name="_Toc8906469"/>
      <w:bookmarkStart w:id="203" w:name="_Toc8217697"/>
      <w:bookmarkStart w:id="204" w:name="_Toc8949756"/>
      <w:bookmarkStart w:id="205" w:name="_Toc49348567"/>
      <w:bookmarkStart w:id="206" w:name="_Toc8949378"/>
      <w:bookmarkStart w:id="207" w:name="_Toc8950650"/>
      <w:bookmarkStart w:id="208" w:name="_Toc39427700"/>
      <w:bookmarkStart w:id="209" w:name="_Toc8949273"/>
      <w:bookmarkStart w:id="210" w:name="_Toc8948714"/>
      <w:r>
        <w:rPr>
          <w:rFonts w:hint="eastAsia" w:ascii="楷体" w:hAnsi="楷体" w:eastAsia="楷体" w:cs="楷体"/>
          <w:szCs w:val="32"/>
        </w:rPr>
        <w:t>（四）强化监督考核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>
      <w:pPr>
        <w:spacing w:line="580" w:lineRule="exact"/>
        <w:ind w:firstLine="640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建立科学、有效的考核机制，突出高质量发展导向，建立统计与监测指标体系，推动各项指标的落实。定期对各开发区、各街镇、</w:t>
      </w:r>
      <w:r>
        <w:rPr>
          <w:rFonts w:ascii="Times New Roman" w:hAnsi="Times New Roman" w:cs="Times New Roman"/>
          <w:sz w:val="32"/>
          <w:szCs w:val="32"/>
        </w:rPr>
        <w:t>各部门</w:t>
      </w:r>
      <w:r>
        <w:rPr>
          <w:rFonts w:ascii="Times New Roman" w:hAnsi="Times New Roman" w:cs="Times New Roman"/>
          <w:color w:val="000000"/>
          <w:sz w:val="32"/>
          <w:szCs w:val="32"/>
        </w:rPr>
        <w:t>知识产权工作和实施效果进行评估</w:t>
      </w:r>
      <w:bookmarkStart w:id="211" w:name="_Toc443470561"/>
      <w:bookmarkEnd w:id="211"/>
      <w:r>
        <w:rPr>
          <w:rFonts w:ascii="Times New Roman" w:cs="Times New Roman"/>
          <w:sz w:val="32"/>
          <w:szCs w:val="32"/>
        </w:rPr>
        <w:t>，促进各项规划任务的落实。</w:t>
      </w:r>
    </w:p>
    <w:sectPr>
      <w:footerReference r:id="rId3" w:type="default"/>
      <w:pgSz w:w="11906" w:h="16838"/>
      <w:pgMar w:top="2098" w:right="1474" w:bottom="1985" w:left="1588" w:header="851" w:footer="1701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65F6E5-4382-40F2-9DE1-9C3726B6FB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5791FE4-C7EF-4525-A70B-47260B67F38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4D68D37-3BC8-402A-AAAC-A05023B3C81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7B5A310B-2F75-4150-AD6A-78E0535BD41C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5" w:fontKey="{13262D9A-5D8A-4808-B712-03632B3B456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FB13BEA-8376-47BD-8BB7-D7036B21B2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Times New Roman" w:hAnsi="Times New Roman" w:eastAsia="宋体" w:cs="Times New Roman"/>
        <w:sz w:val="24"/>
        <w:szCs w:val="24"/>
      </w:rPr>
    </w:pPr>
    <w:r>
      <w:rPr>
        <w:sz w:val="24"/>
        <w:lang w:val="en-US"/>
      </w:rPr>
      <w:pict>
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</w:pPr>
                <w:r>
                  <w:t xml:space="preserve">— </w:t>
                </w:r>
                <w:r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22</w:t>
                </w:r>
                <w:r>
                  <w:rPr>
                    <w:sz w:val="24"/>
                    <w:szCs w:val="24"/>
                  </w:rPr>
                  <w:fldChar w:fldCharType="end"/>
                </w:r>
                <w:r>
                  <w:t xml:space="preserve"> —</w:t>
                </w:r>
              </w:p>
            </w:txbxContent>
          </v:textbox>
        </v:shape>
      </w:pict>
    </w:r>
  </w:p>
  <w:p>
    <w:pPr>
      <w:pStyle w:val="2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1"/>
    </o:shapelayout>
  </w:hdrShapeDefaults>
  <w:compat>
    <w:doNotExpandShiftReturn/>
    <w:useFELayout/>
    <w:underlineTabInNumList/>
    <w:compatSetting w:name="compatibilityMode" w:uri="http://schemas.microsoft.com/office/word" w:val="12"/>
  </w:compat>
  <w:rsids>
    <w:rsidRoot w:val="00297FEF"/>
    <w:rsid w:val="0000165F"/>
    <w:rsid w:val="00001845"/>
    <w:rsid w:val="00001D90"/>
    <w:rsid w:val="00001F1A"/>
    <w:rsid w:val="000034B9"/>
    <w:rsid w:val="0000378D"/>
    <w:rsid w:val="00004778"/>
    <w:rsid w:val="00005D26"/>
    <w:rsid w:val="00006041"/>
    <w:rsid w:val="00007D36"/>
    <w:rsid w:val="00010147"/>
    <w:rsid w:val="0001019E"/>
    <w:rsid w:val="000117A8"/>
    <w:rsid w:val="0001195B"/>
    <w:rsid w:val="000126C1"/>
    <w:rsid w:val="00012A66"/>
    <w:rsid w:val="00013D8A"/>
    <w:rsid w:val="00014CBA"/>
    <w:rsid w:val="00014DFA"/>
    <w:rsid w:val="0001533A"/>
    <w:rsid w:val="000210CA"/>
    <w:rsid w:val="000214BB"/>
    <w:rsid w:val="00021BD9"/>
    <w:rsid w:val="0002201C"/>
    <w:rsid w:val="000245BF"/>
    <w:rsid w:val="000247CA"/>
    <w:rsid w:val="00025E4A"/>
    <w:rsid w:val="00026064"/>
    <w:rsid w:val="00032D78"/>
    <w:rsid w:val="00032D9C"/>
    <w:rsid w:val="00035E21"/>
    <w:rsid w:val="00042BAB"/>
    <w:rsid w:val="000447B4"/>
    <w:rsid w:val="00045320"/>
    <w:rsid w:val="00045CCF"/>
    <w:rsid w:val="00047693"/>
    <w:rsid w:val="00050C9A"/>
    <w:rsid w:val="00051119"/>
    <w:rsid w:val="000549B3"/>
    <w:rsid w:val="00054DD0"/>
    <w:rsid w:val="000555AF"/>
    <w:rsid w:val="0005614C"/>
    <w:rsid w:val="0006086A"/>
    <w:rsid w:val="000623FC"/>
    <w:rsid w:val="0006532D"/>
    <w:rsid w:val="0007246B"/>
    <w:rsid w:val="00074A31"/>
    <w:rsid w:val="00074CEC"/>
    <w:rsid w:val="000762E4"/>
    <w:rsid w:val="000839BA"/>
    <w:rsid w:val="000847C1"/>
    <w:rsid w:val="0008490F"/>
    <w:rsid w:val="00085BE2"/>
    <w:rsid w:val="00086D58"/>
    <w:rsid w:val="000871D2"/>
    <w:rsid w:val="000874A2"/>
    <w:rsid w:val="0008794B"/>
    <w:rsid w:val="00091140"/>
    <w:rsid w:val="000941CF"/>
    <w:rsid w:val="00094487"/>
    <w:rsid w:val="0009476B"/>
    <w:rsid w:val="00097419"/>
    <w:rsid w:val="000979A1"/>
    <w:rsid w:val="00097A7A"/>
    <w:rsid w:val="000A12ED"/>
    <w:rsid w:val="000A156B"/>
    <w:rsid w:val="000A2F49"/>
    <w:rsid w:val="000A3B29"/>
    <w:rsid w:val="000A56F2"/>
    <w:rsid w:val="000A611B"/>
    <w:rsid w:val="000B20C7"/>
    <w:rsid w:val="000B2773"/>
    <w:rsid w:val="000B2C48"/>
    <w:rsid w:val="000B2DDA"/>
    <w:rsid w:val="000B3C5D"/>
    <w:rsid w:val="000B514B"/>
    <w:rsid w:val="000B5236"/>
    <w:rsid w:val="000B546A"/>
    <w:rsid w:val="000B6D63"/>
    <w:rsid w:val="000B7C3F"/>
    <w:rsid w:val="000C260E"/>
    <w:rsid w:val="000C31DD"/>
    <w:rsid w:val="000C4E4A"/>
    <w:rsid w:val="000D0B76"/>
    <w:rsid w:val="000D2D66"/>
    <w:rsid w:val="000D5018"/>
    <w:rsid w:val="000D52E6"/>
    <w:rsid w:val="000D6EBD"/>
    <w:rsid w:val="000D7ECF"/>
    <w:rsid w:val="000E0E64"/>
    <w:rsid w:val="000E2CF8"/>
    <w:rsid w:val="000E41B7"/>
    <w:rsid w:val="000E4BD7"/>
    <w:rsid w:val="000E5813"/>
    <w:rsid w:val="000E7D13"/>
    <w:rsid w:val="000F2326"/>
    <w:rsid w:val="000F2A00"/>
    <w:rsid w:val="000F5056"/>
    <w:rsid w:val="000F62DD"/>
    <w:rsid w:val="000F776C"/>
    <w:rsid w:val="000F7FCB"/>
    <w:rsid w:val="00101472"/>
    <w:rsid w:val="001027B8"/>
    <w:rsid w:val="00102CD7"/>
    <w:rsid w:val="00102F68"/>
    <w:rsid w:val="00105061"/>
    <w:rsid w:val="0010782E"/>
    <w:rsid w:val="001139BC"/>
    <w:rsid w:val="0011542A"/>
    <w:rsid w:val="0011581D"/>
    <w:rsid w:val="001159ED"/>
    <w:rsid w:val="00115E9C"/>
    <w:rsid w:val="001171BB"/>
    <w:rsid w:val="00120BCB"/>
    <w:rsid w:val="0012273E"/>
    <w:rsid w:val="001230DC"/>
    <w:rsid w:val="00124CDF"/>
    <w:rsid w:val="0012563C"/>
    <w:rsid w:val="0012637B"/>
    <w:rsid w:val="001271C8"/>
    <w:rsid w:val="001302B0"/>
    <w:rsid w:val="00130FDC"/>
    <w:rsid w:val="00131A9A"/>
    <w:rsid w:val="001328B0"/>
    <w:rsid w:val="00133436"/>
    <w:rsid w:val="00133926"/>
    <w:rsid w:val="00134027"/>
    <w:rsid w:val="001355D9"/>
    <w:rsid w:val="00137432"/>
    <w:rsid w:val="00140E4C"/>
    <w:rsid w:val="00141C6E"/>
    <w:rsid w:val="001449C2"/>
    <w:rsid w:val="00144ECA"/>
    <w:rsid w:val="00145507"/>
    <w:rsid w:val="001457DF"/>
    <w:rsid w:val="0014590C"/>
    <w:rsid w:val="001466AF"/>
    <w:rsid w:val="00146D3E"/>
    <w:rsid w:val="00147547"/>
    <w:rsid w:val="00150B1E"/>
    <w:rsid w:val="00150E6C"/>
    <w:rsid w:val="00152567"/>
    <w:rsid w:val="00156437"/>
    <w:rsid w:val="00156E32"/>
    <w:rsid w:val="001612A9"/>
    <w:rsid w:val="001613AC"/>
    <w:rsid w:val="0016148E"/>
    <w:rsid w:val="00161D0F"/>
    <w:rsid w:val="00161F49"/>
    <w:rsid w:val="001633BC"/>
    <w:rsid w:val="001638E2"/>
    <w:rsid w:val="001644F4"/>
    <w:rsid w:val="001674BC"/>
    <w:rsid w:val="00171117"/>
    <w:rsid w:val="00171FBD"/>
    <w:rsid w:val="0017262D"/>
    <w:rsid w:val="0018055A"/>
    <w:rsid w:val="00180817"/>
    <w:rsid w:val="0018091A"/>
    <w:rsid w:val="001809EC"/>
    <w:rsid w:val="001812DD"/>
    <w:rsid w:val="00182215"/>
    <w:rsid w:val="00182869"/>
    <w:rsid w:val="00182A7C"/>
    <w:rsid w:val="0018398A"/>
    <w:rsid w:val="00187A7F"/>
    <w:rsid w:val="00187D7C"/>
    <w:rsid w:val="001902A8"/>
    <w:rsid w:val="0019033F"/>
    <w:rsid w:val="0019122E"/>
    <w:rsid w:val="00191EC8"/>
    <w:rsid w:val="001926F9"/>
    <w:rsid w:val="00192BE0"/>
    <w:rsid w:val="00195B7C"/>
    <w:rsid w:val="00195DF0"/>
    <w:rsid w:val="00196963"/>
    <w:rsid w:val="00196A49"/>
    <w:rsid w:val="001A1294"/>
    <w:rsid w:val="001A2BAE"/>
    <w:rsid w:val="001A3999"/>
    <w:rsid w:val="001A4801"/>
    <w:rsid w:val="001A4F20"/>
    <w:rsid w:val="001A5369"/>
    <w:rsid w:val="001A636D"/>
    <w:rsid w:val="001A6F21"/>
    <w:rsid w:val="001A752A"/>
    <w:rsid w:val="001B0782"/>
    <w:rsid w:val="001B3ADE"/>
    <w:rsid w:val="001B41E1"/>
    <w:rsid w:val="001B4866"/>
    <w:rsid w:val="001B56CF"/>
    <w:rsid w:val="001B56FE"/>
    <w:rsid w:val="001B7C61"/>
    <w:rsid w:val="001C132B"/>
    <w:rsid w:val="001C1809"/>
    <w:rsid w:val="001C2406"/>
    <w:rsid w:val="001C2C8F"/>
    <w:rsid w:val="001C44A7"/>
    <w:rsid w:val="001C6035"/>
    <w:rsid w:val="001C7806"/>
    <w:rsid w:val="001D2260"/>
    <w:rsid w:val="001D2AB1"/>
    <w:rsid w:val="001D34A6"/>
    <w:rsid w:val="001D53E6"/>
    <w:rsid w:val="001D69B9"/>
    <w:rsid w:val="001E4E29"/>
    <w:rsid w:val="001E65EC"/>
    <w:rsid w:val="001E7741"/>
    <w:rsid w:val="001E7B24"/>
    <w:rsid w:val="001F6CC9"/>
    <w:rsid w:val="001F70FC"/>
    <w:rsid w:val="001F72FF"/>
    <w:rsid w:val="001F731F"/>
    <w:rsid w:val="002000FA"/>
    <w:rsid w:val="00200531"/>
    <w:rsid w:val="002013BB"/>
    <w:rsid w:val="002016D9"/>
    <w:rsid w:val="002018D0"/>
    <w:rsid w:val="00202273"/>
    <w:rsid w:val="00202646"/>
    <w:rsid w:val="00202716"/>
    <w:rsid w:val="00202E4B"/>
    <w:rsid w:val="00203172"/>
    <w:rsid w:val="00203A7A"/>
    <w:rsid w:val="002046CE"/>
    <w:rsid w:val="002063C3"/>
    <w:rsid w:val="00210B3C"/>
    <w:rsid w:val="002137A2"/>
    <w:rsid w:val="002145A5"/>
    <w:rsid w:val="00214C90"/>
    <w:rsid w:val="00215C8A"/>
    <w:rsid w:val="00215E9C"/>
    <w:rsid w:val="00217301"/>
    <w:rsid w:val="002203A0"/>
    <w:rsid w:val="00223D1B"/>
    <w:rsid w:val="0022580E"/>
    <w:rsid w:val="002270D8"/>
    <w:rsid w:val="002300AF"/>
    <w:rsid w:val="002308EC"/>
    <w:rsid w:val="00230B12"/>
    <w:rsid w:val="00230FAE"/>
    <w:rsid w:val="00231196"/>
    <w:rsid w:val="00236309"/>
    <w:rsid w:val="002367C2"/>
    <w:rsid w:val="00236C04"/>
    <w:rsid w:val="002371C2"/>
    <w:rsid w:val="0024261B"/>
    <w:rsid w:val="00242ADC"/>
    <w:rsid w:val="002434D9"/>
    <w:rsid w:val="0024430D"/>
    <w:rsid w:val="00244F43"/>
    <w:rsid w:val="00247F37"/>
    <w:rsid w:val="00251859"/>
    <w:rsid w:val="00251C00"/>
    <w:rsid w:val="00252B8F"/>
    <w:rsid w:val="00253056"/>
    <w:rsid w:val="00253ED3"/>
    <w:rsid w:val="00254592"/>
    <w:rsid w:val="0025488D"/>
    <w:rsid w:val="00255C66"/>
    <w:rsid w:val="00256427"/>
    <w:rsid w:val="00260781"/>
    <w:rsid w:val="002633FA"/>
    <w:rsid w:val="00263D3A"/>
    <w:rsid w:val="00264285"/>
    <w:rsid w:val="0026635B"/>
    <w:rsid w:val="00271115"/>
    <w:rsid w:val="00273946"/>
    <w:rsid w:val="00274E5E"/>
    <w:rsid w:val="002755BF"/>
    <w:rsid w:val="00275958"/>
    <w:rsid w:val="00276712"/>
    <w:rsid w:val="00277AD1"/>
    <w:rsid w:val="00280CC9"/>
    <w:rsid w:val="00280D8F"/>
    <w:rsid w:val="00283987"/>
    <w:rsid w:val="0028567B"/>
    <w:rsid w:val="0028582A"/>
    <w:rsid w:val="00285D64"/>
    <w:rsid w:val="00286328"/>
    <w:rsid w:val="00290E77"/>
    <w:rsid w:val="00293C50"/>
    <w:rsid w:val="00297FEF"/>
    <w:rsid w:val="002A07B0"/>
    <w:rsid w:val="002A084C"/>
    <w:rsid w:val="002A0D88"/>
    <w:rsid w:val="002A379A"/>
    <w:rsid w:val="002A4B8F"/>
    <w:rsid w:val="002A4C48"/>
    <w:rsid w:val="002A4EF2"/>
    <w:rsid w:val="002A6A9F"/>
    <w:rsid w:val="002A6AF1"/>
    <w:rsid w:val="002A6C98"/>
    <w:rsid w:val="002B00BC"/>
    <w:rsid w:val="002B0348"/>
    <w:rsid w:val="002B0BA4"/>
    <w:rsid w:val="002B0F83"/>
    <w:rsid w:val="002B1F56"/>
    <w:rsid w:val="002B4705"/>
    <w:rsid w:val="002B49CF"/>
    <w:rsid w:val="002B4C39"/>
    <w:rsid w:val="002B6937"/>
    <w:rsid w:val="002B6E79"/>
    <w:rsid w:val="002C18B3"/>
    <w:rsid w:val="002C1915"/>
    <w:rsid w:val="002C2FE6"/>
    <w:rsid w:val="002C37D9"/>
    <w:rsid w:val="002C4F0C"/>
    <w:rsid w:val="002C55B6"/>
    <w:rsid w:val="002C7527"/>
    <w:rsid w:val="002C7D92"/>
    <w:rsid w:val="002D0F0C"/>
    <w:rsid w:val="002D16B3"/>
    <w:rsid w:val="002D1C81"/>
    <w:rsid w:val="002D3450"/>
    <w:rsid w:val="002D4538"/>
    <w:rsid w:val="002D4A5B"/>
    <w:rsid w:val="002D4E20"/>
    <w:rsid w:val="002D721B"/>
    <w:rsid w:val="002D757A"/>
    <w:rsid w:val="002E1302"/>
    <w:rsid w:val="002E3E8A"/>
    <w:rsid w:val="002E403B"/>
    <w:rsid w:val="002E4373"/>
    <w:rsid w:val="002E50AD"/>
    <w:rsid w:val="002E6C89"/>
    <w:rsid w:val="002E7446"/>
    <w:rsid w:val="002E754E"/>
    <w:rsid w:val="002F0FBC"/>
    <w:rsid w:val="002F116A"/>
    <w:rsid w:val="002F1A99"/>
    <w:rsid w:val="002F1F1B"/>
    <w:rsid w:val="002F2743"/>
    <w:rsid w:val="002F2BB7"/>
    <w:rsid w:val="002F2D74"/>
    <w:rsid w:val="002F2E52"/>
    <w:rsid w:val="003001A0"/>
    <w:rsid w:val="00300428"/>
    <w:rsid w:val="00300FF9"/>
    <w:rsid w:val="003030E2"/>
    <w:rsid w:val="003035D5"/>
    <w:rsid w:val="003044B0"/>
    <w:rsid w:val="0030586E"/>
    <w:rsid w:val="00305CE6"/>
    <w:rsid w:val="003066E0"/>
    <w:rsid w:val="00307887"/>
    <w:rsid w:val="00307B34"/>
    <w:rsid w:val="00310813"/>
    <w:rsid w:val="00310A03"/>
    <w:rsid w:val="00321761"/>
    <w:rsid w:val="00321B7C"/>
    <w:rsid w:val="00323256"/>
    <w:rsid w:val="003234B0"/>
    <w:rsid w:val="0032392E"/>
    <w:rsid w:val="00324D3C"/>
    <w:rsid w:val="00325ED2"/>
    <w:rsid w:val="003261FB"/>
    <w:rsid w:val="00326575"/>
    <w:rsid w:val="00326EE1"/>
    <w:rsid w:val="00327A08"/>
    <w:rsid w:val="00330B85"/>
    <w:rsid w:val="003313A8"/>
    <w:rsid w:val="003331BB"/>
    <w:rsid w:val="00333578"/>
    <w:rsid w:val="00333988"/>
    <w:rsid w:val="00333E9A"/>
    <w:rsid w:val="00334FB8"/>
    <w:rsid w:val="00337B45"/>
    <w:rsid w:val="003400B6"/>
    <w:rsid w:val="00340588"/>
    <w:rsid w:val="0034168D"/>
    <w:rsid w:val="003418E6"/>
    <w:rsid w:val="003431FD"/>
    <w:rsid w:val="00343662"/>
    <w:rsid w:val="00343676"/>
    <w:rsid w:val="003437C8"/>
    <w:rsid w:val="0034661A"/>
    <w:rsid w:val="00346CF8"/>
    <w:rsid w:val="00347D33"/>
    <w:rsid w:val="003549AF"/>
    <w:rsid w:val="003557A3"/>
    <w:rsid w:val="00357382"/>
    <w:rsid w:val="00360281"/>
    <w:rsid w:val="00362BFE"/>
    <w:rsid w:val="003634DD"/>
    <w:rsid w:val="0036409E"/>
    <w:rsid w:val="0036572F"/>
    <w:rsid w:val="00365F0F"/>
    <w:rsid w:val="003679A3"/>
    <w:rsid w:val="00370175"/>
    <w:rsid w:val="003702C8"/>
    <w:rsid w:val="00370B2D"/>
    <w:rsid w:val="00374DC7"/>
    <w:rsid w:val="00376CDF"/>
    <w:rsid w:val="00377CF0"/>
    <w:rsid w:val="00381605"/>
    <w:rsid w:val="003820BC"/>
    <w:rsid w:val="003822ED"/>
    <w:rsid w:val="003852B1"/>
    <w:rsid w:val="0038556F"/>
    <w:rsid w:val="0038606B"/>
    <w:rsid w:val="00392249"/>
    <w:rsid w:val="00392383"/>
    <w:rsid w:val="00392978"/>
    <w:rsid w:val="003942D1"/>
    <w:rsid w:val="0039570A"/>
    <w:rsid w:val="003972A8"/>
    <w:rsid w:val="00397FFE"/>
    <w:rsid w:val="003A0705"/>
    <w:rsid w:val="003A3098"/>
    <w:rsid w:val="003A3F26"/>
    <w:rsid w:val="003A486F"/>
    <w:rsid w:val="003A4AEC"/>
    <w:rsid w:val="003A50D1"/>
    <w:rsid w:val="003A60AC"/>
    <w:rsid w:val="003A65B5"/>
    <w:rsid w:val="003A7005"/>
    <w:rsid w:val="003B131E"/>
    <w:rsid w:val="003B13F9"/>
    <w:rsid w:val="003B19EC"/>
    <w:rsid w:val="003B2A06"/>
    <w:rsid w:val="003B32AE"/>
    <w:rsid w:val="003B3697"/>
    <w:rsid w:val="003B3F4B"/>
    <w:rsid w:val="003B4B12"/>
    <w:rsid w:val="003B569F"/>
    <w:rsid w:val="003B6062"/>
    <w:rsid w:val="003C57F7"/>
    <w:rsid w:val="003C67F5"/>
    <w:rsid w:val="003C71D7"/>
    <w:rsid w:val="003D0231"/>
    <w:rsid w:val="003D02DC"/>
    <w:rsid w:val="003D0516"/>
    <w:rsid w:val="003D1275"/>
    <w:rsid w:val="003D35AE"/>
    <w:rsid w:val="003D3A2D"/>
    <w:rsid w:val="003D41DB"/>
    <w:rsid w:val="003D46BB"/>
    <w:rsid w:val="003D4B05"/>
    <w:rsid w:val="003D5E62"/>
    <w:rsid w:val="003E31A2"/>
    <w:rsid w:val="003E6D98"/>
    <w:rsid w:val="003F072E"/>
    <w:rsid w:val="003F1D2E"/>
    <w:rsid w:val="003F262B"/>
    <w:rsid w:val="003F4254"/>
    <w:rsid w:val="003F492A"/>
    <w:rsid w:val="003F5810"/>
    <w:rsid w:val="003F63C4"/>
    <w:rsid w:val="003F734C"/>
    <w:rsid w:val="003F7B0B"/>
    <w:rsid w:val="00400EA3"/>
    <w:rsid w:val="004011FA"/>
    <w:rsid w:val="00401FD6"/>
    <w:rsid w:val="0040355C"/>
    <w:rsid w:val="0040699C"/>
    <w:rsid w:val="00406A9B"/>
    <w:rsid w:val="00406C1F"/>
    <w:rsid w:val="00406E76"/>
    <w:rsid w:val="00413CB1"/>
    <w:rsid w:val="00413E71"/>
    <w:rsid w:val="0041542C"/>
    <w:rsid w:val="00415ADC"/>
    <w:rsid w:val="00416727"/>
    <w:rsid w:val="00420496"/>
    <w:rsid w:val="004206D6"/>
    <w:rsid w:val="00420CBA"/>
    <w:rsid w:val="004223EA"/>
    <w:rsid w:val="00425A74"/>
    <w:rsid w:val="00425AD2"/>
    <w:rsid w:val="004278AF"/>
    <w:rsid w:val="00431E75"/>
    <w:rsid w:val="00435E70"/>
    <w:rsid w:val="00436586"/>
    <w:rsid w:val="00440530"/>
    <w:rsid w:val="0044177F"/>
    <w:rsid w:val="00441D6C"/>
    <w:rsid w:val="00443D21"/>
    <w:rsid w:val="004457F8"/>
    <w:rsid w:val="004459B1"/>
    <w:rsid w:val="00446908"/>
    <w:rsid w:val="0045046C"/>
    <w:rsid w:val="004507D0"/>
    <w:rsid w:val="00450DDB"/>
    <w:rsid w:val="004523BA"/>
    <w:rsid w:val="00453E32"/>
    <w:rsid w:val="0046111A"/>
    <w:rsid w:val="0046114E"/>
    <w:rsid w:val="00462CBF"/>
    <w:rsid w:val="0046462B"/>
    <w:rsid w:val="0046619E"/>
    <w:rsid w:val="004661AB"/>
    <w:rsid w:val="00466791"/>
    <w:rsid w:val="004673D7"/>
    <w:rsid w:val="004678E4"/>
    <w:rsid w:val="00470613"/>
    <w:rsid w:val="004708A1"/>
    <w:rsid w:val="00471F41"/>
    <w:rsid w:val="00472403"/>
    <w:rsid w:val="00475EB7"/>
    <w:rsid w:val="0047661D"/>
    <w:rsid w:val="004767BC"/>
    <w:rsid w:val="004778AB"/>
    <w:rsid w:val="00480C47"/>
    <w:rsid w:val="00481B00"/>
    <w:rsid w:val="00482917"/>
    <w:rsid w:val="004834E7"/>
    <w:rsid w:val="00484E96"/>
    <w:rsid w:val="00485F85"/>
    <w:rsid w:val="0049097B"/>
    <w:rsid w:val="00491FF7"/>
    <w:rsid w:val="00492A95"/>
    <w:rsid w:val="004935C8"/>
    <w:rsid w:val="00493CBB"/>
    <w:rsid w:val="004960F8"/>
    <w:rsid w:val="004A101E"/>
    <w:rsid w:val="004A16B4"/>
    <w:rsid w:val="004A1F12"/>
    <w:rsid w:val="004A29AC"/>
    <w:rsid w:val="004A31C7"/>
    <w:rsid w:val="004A695F"/>
    <w:rsid w:val="004A6968"/>
    <w:rsid w:val="004A6AF3"/>
    <w:rsid w:val="004A7A62"/>
    <w:rsid w:val="004B29C9"/>
    <w:rsid w:val="004B30AE"/>
    <w:rsid w:val="004B34BB"/>
    <w:rsid w:val="004B3BF8"/>
    <w:rsid w:val="004B4EA8"/>
    <w:rsid w:val="004B620A"/>
    <w:rsid w:val="004B71CE"/>
    <w:rsid w:val="004C03F6"/>
    <w:rsid w:val="004C0E40"/>
    <w:rsid w:val="004C1911"/>
    <w:rsid w:val="004C2543"/>
    <w:rsid w:val="004C2F3E"/>
    <w:rsid w:val="004C44B5"/>
    <w:rsid w:val="004C5717"/>
    <w:rsid w:val="004C59A6"/>
    <w:rsid w:val="004C64A0"/>
    <w:rsid w:val="004D5394"/>
    <w:rsid w:val="004D671C"/>
    <w:rsid w:val="004D770E"/>
    <w:rsid w:val="004E0663"/>
    <w:rsid w:val="004E0CAB"/>
    <w:rsid w:val="004E0DA1"/>
    <w:rsid w:val="004E1BB5"/>
    <w:rsid w:val="004E222A"/>
    <w:rsid w:val="004E255F"/>
    <w:rsid w:val="004E30C6"/>
    <w:rsid w:val="004E3CD8"/>
    <w:rsid w:val="004E4093"/>
    <w:rsid w:val="004E4330"/>
    <w:rsid w:val="004E563D"/>
    <w:rsid w:val="004E6B63"/>
    <w:rsid w:val="004E7CFA"/>
    <w:rsid w:val="004F1A48"/>
    <w:rsid w:val="004F2317"/>
    <w:rsid w:val="004F3CC2"/>
    <w:rsid w:val="004F7397"/>
    <w:rsid w:val="00505AE8"/>
    <w:rsid w:val="0050684A"/>
    <w:rsid w:val="00507637"/>
    <w:rsid w:val="00507CD0"/>
    <w:rsid w:val="005123E0"/>
    <w:rsid w:val="00512F03"/>
    <w:rsid w:val="005220CE"/>
    <w:rsid w:val="005224F1"/>
    <w:rsid w:val="005227DC"/>
    <w:rsid w:val="0052358F"/>
    <w:rsid w:val="0052610E"/>
    <w:rsid w:val="00530BCE"/>
    <w:rsid w:val="0053120E"/>
    <w:rsid w:val="005335E8"/>
    <w:rsid w:val="00535042"/>
    <w:rsid w:val="00536300"/>
    <w:rsid w:val="00536D62"/>
    <w:rsid w:val="0054177A"/>
    <w:rsid w:val="00541D09"/>
    <w:rsid w:val="005424D6"/>
    <w:rsid w:val="0054272F"/>
    <w:rsid w:val="005444D0"/>
    <w:rsid w:val="00544A73"/>
    <w:rsid w:val="00544C1C"/>
    <w:rsid w:val="00546132"/>
    <w:rsid w:val="005463F2"/>
    <w:rsid w:val="00546DC4"/>
    <w:rsid w:val="005471F4"/>
    <w:rsid w:val="00550517"/>
    <w:rsid w:val="0055117F"/>
    <w:rsid w:val="00552DFC"/>
    <w:rsid w:val="00554751"/>
    <w:rsid w:val="00555181"/>
    <w:rsid w:val="00556998"/>
    <w:rsid w:val="0055722F"/>
    <w:rsid w:val="005612F8"/>
    <w:rsid w:val="00566768"/>
    <w:rsid w:val="0056778E"/>
    <w:rsid w:val="00571A72"/>
    <w:rsid w:val="0057345A"/>
    <w:rsid w:val="005735DC"/>
    <w:rsid w:val="00573FEA"/>
    <w:rsid w:val="00574250"/>
    <w:rsid w:val="005746E0"/>
    <w:rsid w:val="00574934"/>
    <w:rsid w:val="00575888"/>
    <w:rsid w:val="005801A0"/>
    <w:rsid w:val="005801E2"/>
    <w:rsid w:val="00580567"/>
    <w:rsid w:val="00581A95"/>
    <w:rsid w:val="0058268D"/>
    <w:rsid w:val="005831FB"/>
    <w:rsid w:val="005834E6"/>
    <w:rsid w:val="00585274"/>
    <w:rsid w:val="005853A4"/>
    <w:rsid w:val="0058651D"/>
    <w:rsid w:val="0058655D"/>
    <w:rsid w:val="005875AA"/>
    <w:rsid w:val="005932D8"/>
    <w:rsid w:val="00594620"/>
    <w:rsid w:val="005A03AB"/>
    <w:rsid w:val="005A0700"/>
    <w:rsid w:val="005A0A4B"/>
    <w:rsid w:val="005A19CC"/>
    <w:rsid w:val="005A213B"/>
    <w:rsid w:val="005A26EC"/>
    <w:rsid w:val="005A2BFC"/>
    <w:rsid w:val="005A2D5B"/>
    <w:rsid w:val="005A4767"/>
    <w:rsid w:val="005A487E"/>
    <w:rsid w:val="005A5265"/>
    <w:rsid w:val="005A79E0"/>
    <w:rsid w:val="005B1792"/>
    <w:rsid w:val="005B1A3C"/>
    <w:rsid w:val="005B1C0F"/>
    <w:rsid w:val="005B2740"/>
    <w:rsid w:val="005B3D9E"/>
    <w:rsid w:val="005B4325"/>
    <w:rsid w:val="005B4A29"/>
    <w:rsid w:val="005B4C06"/>
    <w:rsid w:val="005B6639"/>
    <w:rsid w:val="005B7242"/>
    <w:rsid w:val="005C1B56"/>
    <w:rsid w:val="005C6F80"/>
    <w:rsid w:val="005C7ECF"/>
    <w:rsid w:val="005D0658"/>
    <w:rsid w:val="005D1414"/>
    <w:rsid w:val="005D26DF"/>
    <w:rsid w:val="005D27D4"/>
    <w:rsid w:val="005D4FD9"/>
    <w:rsid w:val="005D5D25"/>
    <w:rsid w:val="005D77EA"/>
    <w:rsid w:val="005E46BA"/>
    <w:rsid w:val="005E67DA"/>
    <w:rsid w:val="005E7473"/>
    <w:rsid w:val="005E79E3"/>
    <w:rsid w:val="005F00EE"/>
    <w:rsid w:val="005F064A"/>
    <w:rsid w:val="005F0855"/>
    <w:rsid w:val="005F10B5"/>
    <w:rsid w:val="005F2C89"/>
    <w:rsid w:val="005F4B51"/>
    <w:rsid w:val="005F4FF9"/>
    <w:rsid w:val="005F6C09"/>
    <w:rsid w:val="006002F1"/>
    <w:rsid w:val="006011DE"/>
    <w:rsid w:val="00601A2D"/>
    <w:rsid w:val="0060270F"/>
    <w:rsid w:val="006029B1"/>
    <w:rsid w:val="00604978"/>
    <w:rsid w:val="00605C1A"/>
    <w:rsid w:val="00605C74"/>
    <w:rsid w:val="006064C3"/>
    <w:rsid w:val="00607294"/>
    <w:rsid w:val="006077CB"/>
    <w:rsid w:val="00607E74"/>
    <w:rsid w:val="006102C5"/>
    <w:rsid w:val="006132F8"/>
    <w:rsid w:val="006150F2"/>
    <w:rsid w:val="00617B92"/>
    <w:rsid w:val="00622425"/>
    <w:rsid w:val="006226A6"/>
    <w:rsid w:val="00622D79"/>
    <w:rsid w:val="00623FC3"/>
    <w:rsid w:val="00625C05"/>
    <w:rsid w:val="00626C39"/>
    <w:rsid w:val="00630695"/>
    <w:rsid w:val="00632249"/>
    <w:rsid w:val="00632786"/>
    <w:rsid w:val="00632DF5"/>
    <w:rsid w:val="006331A8"/>
    <w:rsid w:val="00636E67"/>
    <w:rsid w:val="00641B23"/>
    <w:rsid w:val="00641DBA"/>
    <w:rsid w:val="00642732"/>
    <w:rsid w:val="006430D9"/>
    <w:rsid w:val="00645629"/>
    <w:rsid w:val="00645BAC"/>
    <w:rsid w:val="00645F9E"/>
    <w:rsid w:val="00647D5B"/>
    <w:rsid w:val="00653695"/>
    <w:rsid w:val="006538B8"/>
    <w:rsid w:val="00653B8C"/>
    <w:rsid w:val="0065601D"/>
    <w:rsid w:val="00656135"/>
    <w:rsid w:val="00657C89"/>
    <w:rsid w:val="006619F5"/>
    <w:rsid w:val="00662E48"/>
    <w:rsid w:val="0066414A"/>
    <w:rsid w:val="00666DE0"/>
    <w:rsid w:val="006671B3"/>
    <w:rsid w:val="006717AD"/>
    <w:rsid w:val="006727C5"/>
    <w:rsid w:val="006745DA"/>
    <w:rsid w:val="00674F06"/>
    <w:rsid w:val="00675826"/>
    <w:rsid w:val="006770A9"/>
    <w:rsid w:val="006779AF"/>
    <w:rsid w:val="00680508"/>
    <w:rsid w:val="00681361"/>
    <w:rsid w:val="006816EA"/>
    <w:rsid w:val="00682CE3"/>
    <w:rsid w:val="0068444D"/>
    <w:rsid w:val="00685C06"/>
    <w:rsid w:val="006931E5"/>
    <w:rsid w:val="00695213"/>
    <w:rsid w:val="0069578D"/>
    <w:rsid w:val="00695AD0"/>
    <w:rsid w:val="006963C8"/>
    <w:rsid w:val="00696C50"/>
    <w:rsid w:val="00697BA7"/>
    <w:rsid w:val="006A04FB"/>
    <w:rsid w:val="006A109D"/>
    <w:rsid w:val="006A1719"/>
    <w:rsid w:val="006A5CDD"/>
    <w:rsid w:val="006A77AA"/>
    <w:rsid w:val="006A7A9B"/>
    <w:rsid w:val="006B2DB3"/>
    <w:rsid w:val="006B52ED"/>
    <w:rsid w:val="006B5C11"/>
    <w:rsid w:val="006B7091"/>
    <w:rsid w:val="006B7DB3"/>
    <w:rsid w:val="006C1305"/>
    <w:rsid w:val="006C1E13"/>
    <w:rsid w:val="006C3273"/>
    <w:rsid w:val="006C3AB6"/>
    <w:rsid w:val="006C3B77"/>
    <w:rsid w:val="006C4AB4"/>
    <w:rsid w:val="006C5CEC"/>
    <w:rsid w:val="006C69EF"/>
    <w:rsid w:val="006D0569"/>
    <w:rsid w:val="006D06A2"/>
    <w:rsid w:val="006D27DD"/>
    <w:rsid w:val="006D28E6"/>
    <w:rsid w:val="006D62AA"/>
    <w:rsid w:val="006D7C77"/>
    <w:rsid w:val="006E0924"/>
    <w:rsid w:val="006E0977"/>
    <w:rsid w:val="006E4364"/>
    <w:rsid w:val="006E5D76"/>
    <w:rsid w:val="006E7A34"/>
    <w:rsid w:val="006F0B3B"/>
    <w:rsid w:val="006F14BB"/>
    <w:rsid w:val="006F1559"/>
    <w:rsid w:val="006F454C"/>
    <w:rsid w:val="006F4C8E"/>
    <w:rsid w:val="006F6C6E"/>
    <w:rsid w:val="006F6D0D"/>
    <w:rsid w:val="006F7450"/>
    <w:rsid w:val="00701821"/>
    <w:rsid w:val="007019F9"/>
    <w:rsid w:val="007049CD"/>
    <w:rsid w:val="00705681"/>
    <w:rsid w:val="007068E4"/>
    <w:rsid w:val="00706DC0"/>
    <w:rsid w:val="00711386"/>
    <w:rsid w:val="00711B33"/>
    <w:rsid w:val="00712B0E"/>
    <w:rsid w:val="00712C72"/>
    <w:rsid w:val="00714DC3"/>
    <w:rsid w:val="00714E4D"/>
    <w:rsid w:val="007165D8"/>
    <w:rsid w:val="00716A47"/>
    <w:rsid w:val="007171B7"/>
    <w:rsid w:val="00717A7E"/>
    <w:rsid w:val="00717CC9"/>
    <w:rsid w:val="00720CD8"/>
    <w:rsid w:val="00720FFE"/>
    <w:rsid w:val="007221CA"/>
    <w:rsid w:val="007244E8"/>
    <w:rsid w:val="0072467F"/>
    <w:rsid w:val="00724EA1"/>
    <w:rsid w:val="007253E6"/>
    <w:rsid w:val="0072636E"/>
    <w:rsid w:val="00727FE6"/>
    <w:rsid w:val="00730429"/>
    <w:rsid w:val="007319A8"/>
    <w:rsid w:val="007348B5"/>
    <w:rsid w:val="00735B4C"/>
    <w:rsid w:val="00735D00"/>
    <w:rsid w:val="00737F30"/>
    <w:rsid w:val="00740441"/>
    <w:rsid w:val="0074086B"/>
    <w:rsid w:val="007408DD"/>
    <w:rsid w:val="0074298A"/>
    <w:rsid w:val="00750338"/>
    <w:rsid w:val="00752757"/>
    <w:rsid w:val="00755FE5"/>
    <w:rsid w:val="00756044"/>
    <w:rsid w:val="00757A86"/>
    <w:rsid w:val="00760C7B"/>
    <w:rsid w:val="007614BF"/>
    <w:rsid w:val="00762DA3"/>
    <w:rsid w:val="00762F1D"/>
    <w:rsid w:val="007635E3"/>
    <w:rsid w:val="00764204"/>
    <w:rsid w:val="0076484D"/>
    <w:rsid w:val="00765B69"/>
    <w:rsid w:val="0077193E"/>
    <w:rsid w:val="00774564"/>
    <w:rsid w:val="00774D09"/>
    <w:rsid w:val="00774ED4"/>
    <w:rsid w:val="007806FA"/>
    <w:rsid w:val="0078390D"/>
    <w:rsid w:val="0078429F"/>
    <w:rsid w:val="007843B9"/>
    <w:rsid w:val="00784B80"/>
    <w:rsid w:val="007869E4"/>
    <w:rsid w:val="00787BD1"/>
    <w:rsid w:val="00790ECE"/>
    <w:rsid w:val="007940A9"/>
    <w:rsid w:val="00794F91"/>
    <w:rsid w:val="00795623"/>
    <w:rsid w:val="0079616C"/>
    <w:rsid w:val="007A0717"/>
    <w:rsid w:val="007A0D7E"/>
    <w:rsid w:val="007A4D0E"/>
    <w:rsid w:val="007A51E1"/>
    <w:rsid w:val="007A59C9"/>
    <w:rsid w:val="007A5FEA"/>
    <w:rsid w:val="007A6713"/>
    <w:rsid w:val="007B093A"/>
    <w:rsid w:val="007B2B23"/>
    <w:rsid w:val="007B3E87"/>
    <w:rsid w:val="007B4F1A"/>
    <w:rsid w:val="007B6A00"/>
    <w:rsid w:val="007B7F03"/>
    <w:rsid w:val="007C1384"/>
    <w:rsid w:val="007C23AB"/>
    <w:rsid w:val="007C4AAB"/>
    <w:rsid w:val="007C7A7A"/>
    <w:rsid w:val="007C7C01"/>
    <w:rsid w:val="007C7FBE"/>
    <w:rsid w:val="007D0016"/>
    <w:rsid w:val="007D05B6"/>
    <w:rsid w:val="007D1B25"/>
    <w:rsid w:val="007D24B6"/>
    <w:rsid w:val="007D2E28"/>
    <w:rsid w:val="007D3767"/>
    <w:rsid w:val="007D5CD3"/>
    <w:rsid w:val="007D7778"/>
    <w:rsid w:val="007E02E4"/>
    <w:rsid w:val="007E032D"/>
    <w:rsid w:val="007E1919"/>
    <w:rsid w:val="007E24A4"/>
    <w:rsid w:val="007E2757"/>
    <w:rsid w:val="007E2E1E"/>
    <w:rsid w:val="007E40A3"/>
    <w:rsid w:val="007E4149"/>
    <w:rsid w:val="007E7B6E"/>
    <w:rsid w:val="007F021E"/>
    <w:rsid w:val="007F12ED"/>
    <w:rsid w:val="007F2B93"/>
    <w:rsid w:val="007F315C"/>
    <w:rsid w:val="007F4FD7"/>
    <w:rsid w:val="007F516C"/>
    <w:rsid w:val="007F5B17"/>
    <w:rsid w:val="007F60EA"/>
    <w:rsid w:val="007F65DB"/>
    <w:rsid w:val="007F701B"/>
    <w:rsid w:val="007F7262"/>
    <w:rsid w:val="0080045E"/>
    <w:rsid w:val="008015CF"/>
    <w:rsid w:val="00801ACE"/>
    <w:rsid w:val="00803742"/>
    <w:rsid w:val="00807C53"/>
    <w:rsid w:val="00810731"/>
    <w:rsid w:val="00810866"/>
    <w:rsid w:val="00811672"/>
    <w:rsid w:val="00814572"/>
    <w:rsid w:val="008147D9"/>
    <w:rsid w:val="0081580E"/>
    <w:rsid w:val="00815C14"/>
    <w:rsid w:val="00817C3F"/>
    <w:rsid w:val="00817ED3"/>
    <w:rsid w:val="00817FB5"/>
    <w:rsid w:val="00821597"/>
    <w:rsid w:val="008217EC"/>
    <w:rsid w:val="00821B0E"/>
    <w:rsid w:val="00823150"/>
    <w:rsid w:val="0082452F"/>
    <w:rsid w:val="00824C47"/>
    <w:rsid w:val="008253E7"/>
    <w:rsid w:val="008260BC"/>
    <w:rsid w:val="008328B4"/>
    <w:rsid w:val="00832FC3"/>
    <w:rsid w:val="008356A4"/>
    <w:rsid w:val="008367DF"/>
    <w:rsid w:val="00837CE7"/>
    <w:rsid w:val="00840ACC"/>
    <w:rsid w:val="00840F19"/>
    <w:rsid w:val="008413A3"/>
    <w:rsid w:val="008430A1"/>
    <w:rsid w:val="00845651"/>
    <w:rsid w:val="008477E8"/>
    <w:rsid w:val="008506C0"/>
    <w:rsid w:val="008542FA"/>
    <w:rsid w:val="00857E12"/>
    <w:rsid w:val="008603DA"/>
    <w:rsid w:val="0086094F"/>
    <w:rsid w:val="00862224"/>
    <w:rsid w:val="008631BE"/>
    <w:rsid w:val="008652F7"/>
    <w:rsid w:val="00865C36"/>
    <w:rsid w:val="00870F4B"/>
    <w:rsid w:val="008710D7"/>
    <w:rsid w:val="008718BB"/>
    <w:rsid w:val="00872A78"/>
    <w:rsid w:val="0088399C"/>
    <w:rsid w:val="00883F4B"/>
    <w:rsid w:val="00885F8D"/>
    <w:rsid w:val="00885FD0"/>
    <w:rsid w:val="0088621D"/>
    <w:rsid w:val="00887FC6"/>
    <w:rsid w:val="00890196"/>
    <w:rsid w:val="00890254"/>
    <w:rsid w:val="00890C41"/>
    <w:rsid w:val="00891132"/>
    <w:rsid w:val="00891438"/>
    <w:rsid w:val="008916D8"/>
    <w:rsid w:val="008925F2"/>
    <w:rsid w:val="00892C69"/>
    <w:rsid w:val="00892FB5"/>
    <w:rsid w:val="00894B2F"/>
    <w:rsid w:val="008955CA"/>
    <w:rsid w:val="00895A89"/>
    <w:rsid w:val="008971E2"/>
    <w:rsid w:val="00897280"/>
    <w:rsid w:val="008A0996"/>
    <w:rsid w:val="008A121F"/>
    <w:rsid w:val="008A1531"/>
    <w:rsid w:val="008A6465"/>
    <w:rsid w:val="008B0CA0"/>
    <w:rsid w:val="008B3138"/>
    <w:rsid w:val="008B31E1"/>
    <w:rsid w:val="008B42DE"/>
    <w:rsid w:val="008B5469"/>
    <w:rsid w:val="008B61B7"/>
    <w:rsid w:val="008B7C21"/>
    <w:rsid w:val="008C0472"/>
    <w:rsid w:val="008C0E8F"/>
    <w:rsid w:val="008C4769"/>
    <w:rsid w:val="008C47A2"/>
    <w:rsid w:val="008C4A85"/>
    <w:rsid w:val="008C4BDD"/>
    <w:rsid w:val="008D00BC"/>
    <w:rsid w:val="008D06A6"/>
    <w:rsid w:val="008D118E"/>
    <w:rsid w:val="008D1585"/>
    <w:rsid w:val="008D34F0"/>
    <w:rsid w:val="008D5DDA"/>
    <w:rsid w:val="008D6512"/>
    <w:rsid w:val="008D6C24"/>
    <w:rsid w:val="008D7AFF"/>
    <w:rsid w:val="008D7DC8"/>
    <w:rsid w:val="008E0642"/>
    <w:rsid w:val="008E1639"/>
    <w:rsid w:val="008E3029"/>
    <w:rsid w:val="008E3B50"/>
    <w:rsid w:val="008E5888"/>
    <w:rsid w:val="008E7400"/>
    <w:rsid w:val="008E7AAB"/>
    <w:rsid w:val="008F10AD"/>
    <w:rsid w:val="008F1FA2"/>
    <w:rsid w:val="008F573A"/>
    <w:rsid w:val="008F5EAF"/>
    <w:rsid w:val="008F6BD0"/>
    <w:rsid w:val="008F77E1"/>
    <w:rsid w:val="008F7BA1"/>
    <w:rsid w:val="0090125C"/>
    <w:rsid w:val="0090172A"/>
    <w:rsid w:val="00901BE1"/>
    <w:rsid w:val="00903098"/>
    <w:rsid w:val="00903CC2"/>
    <w:rsid w:val="00904140"/>
    <w:rsid w:val="00905543"/>
    <w:rsid w:val="00906A7E"/>
    <w:rsid w:val="0090729F"/>
    <w:rsid w:val="009075B8"/>
    <w:rsid w:val="00907B6A"/>
    <w:rsid w:val="0091143A"/>
    <w:rsid w:val="00911795"/>
    <w:rsid w:val="00911D9C"/>
    <w:rsid w:val="0091311A"/>
    <w:rsid w:val="00913211"/>
    <w:rsid w:val="00913674"/>
    <w:rsid w:val="009157DB"/>
    <w:rsid w:val="0092636E"/>
    <w:rsid w:val="009275BF"/>
    <w:rsid w:val="0093097E"/>
    <w:rsid w:val="00931702"/>
    <w:rsid w:val="009322EB"/>
    <w:rsid w:val="0093303B"/>
    <w:rsid w:val="0093357A"/>
    <w:rsid w:val="00933969"/>
    <w:rsid w:val="00934CC6"/>
    <w:rsid w:val="00937731"/>
    <w:rsid w:val="00937C25"/>
    <w:rsid w:val="00940421"/>
    <w:rsid w:val="009410FC"/>
    <w:rsid w:val="0094118A"/>
    <w:rsid w:val="00945AC8"/>
    <w:rsid w:val="0094613E"/>
    <w:rsid w:val="00946BDA"/>
    <w:rsid w:val="009476C8"/>
    <w:rsid w:val="00951D58"/>
    <w:rsid w:val="00953A17"/>
    <w:rsid w:val="0095454A"/>
    <w:rsid w:val="0096132C"/>
    <w:rsid w:val="00963082"/>
    <w:rsid w:val="0096408D"/>
    <w:rsid w:val="00964B77"/>
    <w:rsid w:val="00964BAD"/>
    <w:rsid w:val="009672B9"/>
    <w:rsid w:val="009672C5"/>
    <w:rsid w:val="0096762C"/>
    <w:rsid w:val="00970BE8"/>
    <w:rsid w:val="009710A9"/>
    <w:rsid w:val="009713A0"/>
    <w:rsid w:val="009728CC"/>
    <w:rsid w:val="00972BFE"/>
    <w:rsid w:val="0097315C"/>
    <w:rsid w:val="009737D4"/>
    <w:rsid w:val="00973A32"/>
    <w:rsid w:val="00973C36"/>
    <w:rsid w:val="009755B4"/>
    <w:rsid w:val="00985C8E"/>
    <w:rsid w:val="00987C9A"/>
    <w:rsid w:val="009901A9"/>
    <w:rsid w:val="009905C3"/>
    <w:rsid w:val="009905E1"/>
    <w:rsid w:val="009927AE"/>
    <w:rsid w:val="00992E30"/>
    <w:rsid w:val="00993197"/>
    <w:rsid w:val="00993549"/>
    <w:rsid w:val="009938B7"/>
    <w:rsid w:val="00993EA6"/>
    <w:rsid w:val="00995089"/>
    <w:rsid w:val="00995697"/>
    <w:rsid w:val="00997193"/>
    <w:rsid w:val="009975F1"/>
    <w:rsid w:val="00997A42"/>
    <w:rsid w:val="009A1484"/>
    <w:rsid w:val="009A1E41"/>
    <w:rsid w:val="009A2748"/>
    <w:rsid w:val="009A2B59"/>
    <w:rsid w:val="009A3190"/>
    <w:rsid w:val="009A4F71"/>
    <w:rsid w:val="009A5025"/>
    <w:rsid w:val="009A63C7"/>
    <w:rsid w:val="009A6A23"/>
    <w:rsid w:val="009B232C"/>
    <w:rsid w:val="009B263B"/>
    <w:rsid w:val="009B2F0A"/>
    <w:rsid w:val="009B2FD4"/>
    <w:rsid w:val="009B30C0"/>
    <w:rsid w:val="009B3351"/>
    <w:rsid w:val="009B3354"/>
    <w:rsid w:val="009B3543"/>
    <w:rsid w:val="009B4ABC"/>
    <w:rsid w:val="009B5531"/>
    <w:rsid w:val="009B576E"/>
    <w:rsid w:val="009B6F2A"/>
    <w:rsid w:val="009B7F66"/>
    <w:rsid w:val="009C4A54"/>
    <w:rsid w:val="009C542E"/>
    <w:rsid w:val="009C59F8"/>
    <w:rsid w:val="009C5CA5"/>
    <w:rsid w:val="009C7D8F"/>
    <w:rsid w:val="009C7E63"/>
    <w:rsid w:val="009D032D"/>
    <w:rsid w:val="009D3040"/>
    <w:rsid w:val="009D452C"/>
    <w:rsid w:val="009D7418"/>
    <w:rsid w:val="009D74D7"/>
    <w:rsid w:val="009E0140"/>
    <w:rsid w:val="009E1086"/>
    <w:rsid w:val="009E614B"/>
    <w:rsid w:val="009E6A0D"/>
    <w:rsid w:val="009E70E6"/>
    <w:rsid w:val="009F1546"/>
    <w:rsid w:val="009F16EB"/>
    <w:rsid w:val="009F3470"/>
    <w:rsid w:val="009F38B4"/>
    <w:rsid w:val="009F3CD4"/>
    <w:rsid w:val="009F62E2"/>
    <w:rsid w:val="009F78C3"/>
    <w:rsid w:val="00A00244"/>
    <w:rsid w:val="00A00EA8"/>
    <w:rsid w:val="00A0540E"/>
    <w:rsid w:val="00A0580C"/>
    <w:rsid w:val="00A06A90"/>
    <w:rsid w:val="00A06BC9"/>
    <w:rsid w:val="00A1107D"/>
    <w:rsid w:val="00A131D7"/>
    <w:rsid w:val="00A13A84"/>
    <w:rsid w:val="00A14B0B"/>
    <w:rsid w:val="00A14DA7"/>
    <w:rsid w:val="00A15098"/>
    <w:rsid w:val="00A157A9"/>
    <w:rsid w:val="00A15B85"/>
    <w:rsid w:val="00A165B0"/>
    <w:rsid w:val="00A16F07"/>
    <w:rsid w:val="00A177E5"/>
    <w:rsid w:val="00A17C44"/>
    <w:rsid w:val="00A222DA"/>
    <w:rsid w:val="00A23568"/>
    <w:rsid w:val="00A23FBF"/>
    <w:rsid w:val="00A24978"/>
    <w:rsid w:val="00A26F18"/>
    <w:rsid w:val="00A300B7"/>
    <w:rsid w:val="00A3242C"/>
    <w:rsid w:val="00A3372E"/>
    <w:rsid w:val="00A34FAD"/>
    <w:rsid w:val="00A3663F"/>
    <w:rsid w:val="00A4371E"/>
    <w:rsid w:val="00A454AC"/>
    <w:rsid w:val="00A457E1"/>
    <w:rsid w:val="00A45F64"/>
    <w:rsid w:val="00A46C96"/>
    <w:rsid w:val="00A502AF"/>
    <w:rsid w:val="00A51B7F"/>
    <w:rsid w:val="00A51EAE"/>
    <w:rsid w:val="00A53EB8"/>
    <w:rsid w:val="00A54174"/>
    <w:rsid w:val="00A551DE"/>
    <w:rsid w:val="00A5624A"/>
    <w:rsid w:val="00A56328"/>
    <w:rsid w:val="00A565BC"/>
    <w:rsid w:val="00A56A48"/>
    <w:rsid w:val="00A60834"/>
    <w:rsid w:val="00A60CC4"/>
    <w:rsid w:val="00A62B6C"/>
    <w:rsid w:val="00A6392B"/>
    <w:rsid w:val="00A64A2B"/>
    <w:rsid w:val="00A64BB4"/>
    <w:rsid w:val="00A65676"/>
    <w:rsid w:val="00A65876"/>
    <w:rsid w:val="00A666DF"/>
    <w:rsid w:val="00A67FAF"/>
    <w:rsid w:val="00A7310D"/>
    <w:rsid w:val="00A73569"/>
    <w:rsid w:val="00A73A35"/>
    <w:rsid w:val="00A74531"/>
    <w:rsid w:val="00A77F5A"/>
    <w:rsid w:val="00A826A6"/>
    <w:rsid w:val="00A82A15"/>
    <w:rsid w:val="00A835B3"/>
    <w:rsid w:val="00A84096"/>
    <w:rsid w:val="00A8490F"/>
    <w:rsid w:val="00A858FA"/>
    <w:rsid w:val="00A876BB"/>
    <w:rsid w:val="00A90AC1"/>
    <w:rsid w:val="00A9296A"/>
    <w:rsid w:val="00A92BEC"/>
    <w:rsid w:val="00A9327C"/>
    <w:rsid w:val="00A93A37"/>
    <w:rsid w:val="00A93FA5"/>
    <w:rsid w:val="00A944D7"/>
    <w:rsid w:val="00A95C19"/>
    <w:rsid w:val="00AA25C7"/>
    <w:rsid w:val="00AA4F98"/>
    <w:rsid w:val="00AA5DFB"/>
    <w:rsid w:val="00AA6DB0"/>
    <w:rsid w:val="00AA724F"/>
    <w:rsid w:val="00AB060A"/>
    <w:rsid w:val="00AB06A0"/>
    <w:rsid w:val="00AB287A"/>
    <w:rsid w:val="00AB44BE"/>
    <w:rsid w:val="00AC0305"/>
    <w:rsid w:val="00AC034B"/>
    <w:rsid w:val="00AC10E9"/>
    <w:rsid w:val="00AC352F"/>
    <w:rsid w:val="00AC362F"/>
    <w:rsid w:val="00AC55B0"/>
    <w:rsid w:val="00AC5C66"/>
    <w:rsid w:val="00AC6F7F"/>
    <w:rsid w:val="00AD2674"/>
    <w:rsid w:val="00AD285F"/>
    <w:rsid w:val="00AD2C72"/>
    <w:rsid w:val="00AD3651"/>
    <w:rsid w:val="00AD75CB"/>
    <w:rsid w:val="00AD7893"/>
    <w:rsid w:val="00AE0D0C"/>
    <w:rsid w:val="00AE2E05"/>
    <w:rsid w:val="00AE36AD"/>
    <w:rsid w:val="00AE4798"/>
    <w:rsid w:val="00AE485C"/>
    <w:rsid w:val="00AE4D31"/>
    <w:rsid w:val="00AE6BE7"/>
    <w:rsid w:val="00AE7EF1"/>
    <w:rsid w:val="00AF07B2"/>
    <w:rsid w:val="00AF0DB3"/>
    <w:rsid w:val="00AF0DEB"/>
    <w:rsid w:val="00AF1254"/>
    <w:rsid w:val="00AF5CE2"/>
    <w:rsid w:val="00AF7D61"/>
    <w:rsid w:val="00B03FD2"/>
    <w:rsid w:val="00B04235"/>
    <w:rsid w:val="00B06B5C"/>
    <w:rsid w:val="00B07393"/>
    <w:rsid w:val="00B109E0"/>
    <w:rsid w:val="00B11244"/>
    <w:rsid w:val="00B118F6"/>
    <w:rsid w:val="00B12911"/>
    <w:rsid w:val="00B1456A"/>
    <w:rsid w:val="00B14EA7"/>
    <w:rsid w:val="00B1701C"/>
    <w:rsid w:val="00B177E5"/>
    <w:rsid w:val="00B17958"/>
    <w:rsid w:val="00B17ACF"/>
    <w:rsid w:val="00B20812"/>
    <w:rsid w:val="00B21B52"/>
    <w:rsid w:val="00B24830"/>
    <w:rsid w:val="00B25BC8"/>
    <w:rsid w:val="00B25E6E"/>
    <w:rsid w:val="00B31603"/>
    <w:rsid w:val="00B3367D"/>
    <w:rsid w:val="00B3637E"/>
    <w:rsid w:val="00B409CF"/>
    <w:rsid w:val="00B41256"/>
    <w:rsid w:val="00B41489"/>
    <w:rsid w:val="00B43A74"/>
    <w:rsid w:val="00B45CCA"/>
    <w:rsid w:val="00B463AA"/>
    <w:rsid w:val="00B46D27"/>
    <w:rsid w:val="00B50EA6"/>
    <w:rsid w:val="00B51A56"/>
    <w:rsid w:val="00B51D83"/>
    <w:rsid w:val="00B550AA"/>
    <w:rsid w:val="00B566CF"/>
    <w:rsid w:val="00B6005E"/>
    <w:rsid w:val="00B601EA"/>
    <w:rsid w:val="00B61E5D"/>
    <w:rsid w:val="00B6214E"/>
    <w:rsid w:val="00B6308C"/>
    <w:rsid w:val="00B63779"/>
    <w:rsid w:val="00B65600"/>
    <w:rsid w:val="00B67387"/>
    <w:rsid w:val="00B67DE8"/>
    <w:rsid w:val="00B72985"/>
    <w:rsid w:val="00B74F93"/>
    <w:rsid w:val="00B77C31"/>
    <w:rsid w:val="00B82FDB"/>
    <w:rsid w:val="00B87562"/>
    <w:rsid w:val="00B87826"/>
    <w:rsid w:val="00B87C9C"/>
    <w:rsid w:val="00B901AB"/>
    <w:rsid w:val="00B90CB0"/>
    <w:rsid w:val="00B915D0"/>
    <w:rsid w:val="00B92A48"/>
    <w:rsid w:val="00B9438E"/>
    <w:rsid w:val="00B97066"/>
    <w:rsid w:val="00B97B37"/>
    <w:rsid w:val="00B97F29"/>
    <w:rsid w:val="00BA1553"/>
    <w:rsid w:val="00BA218B"/>
    <w:rsid w:val="00BA3288"/>
    <w:rsid w:val="00BA58FD"/>
    <w:rsid w:val="00BA5915"/>
    <w:rsid w:val="00BA7500"/>
    <w:rsid w:val="00BA7D90"/>
    <w:rsid w:val="00BB0DE6"/>
    <w:rsid w:val="00BB176B"/>
    <w:rsid w:val="00BB47C3"/>
    <w:rsid w:val="00BB480F"/>
    <w:rsid w:val="00BB4989"/>
    <w:rsid w:val="00BB4F7E"/>
    <w:rsid w:val="00BB68AE"/>
    <w:rsid w:val="00BB69BF"/>
    <w:rsid w:val="00BB7846"/>
    <w:rsid w:val="00BB798B"/>
    <w:rsid w:val="00BC084C"/>
    <w:rsid w:val="00BC0893"/>
    <w:rsid w:val="00BC1594"/>
    <w:rsid w:val="00BC56B1"/>
    <w:rsid w:val="00BC56D3"/>
    <w:rsid w:val="00BC715F"/>
    <w:rsid w:val="00BD13DC"/>
    <w:rsid w:val="00BD1E60"/>
    <w:rsid w:val="00BD245D"/>
    <w:rsid w:val="00BD4702"/>
    <w:rsid w:val="00BD56F7"/>
    <w:rsid w:val="00BD57E3"/>
    <w:rsid w:val="00BD6ABA"/>
    <w:rsid w:val="00BD6D3F"/>
    <w:rsid w:val="00BE1228"/>
    <w:rsid w:val="00BE1DC6"/>
    <w:rsid w:val="00BE35B1"/>
    <w:rsid w:val="00BE3ADF"/>
    <w:rsid w:val="00BF2451"/>
    <w:rsid w:val="00BF2EA5"/>
    <w:rsid w:val="00BF4051"/>
    <w:rsid w:val="00BF5147"/>
    <w:rsid w:val="00BF5683"/>
    <w:rsid w:val="00BF6955"/>
    <w:rsid w:val="00C00070"/>
    <w:rsid w:val="00C00A9B"/>
    <w:rsid w:val="00C00F01"/>
    <w:rsid w:val="00C02884"/>
    <w:rsid w:val="00C03055"/>
    <w:rsid w:val="00C0380E"/>
    <w:rsid w:val="00C05E68"/>
    <w:rsid w:val="00C06B6F"/>
    <w:rsid w:val="00C076D7"/>
    <w:rsid w:val="00C123D9"/>
    <w:rsid w:val="00C12461"/>
    <w:rsid w:val="00C125B1"/>
    <w:rsid w:val="00C140D9"/>
    <w:rsid w:val="00C14DFC"/>
    <w:rsid w:val="00C17611"/>
    <w:rsid w:val="00C21B36"/>
    <w:rsid w:val="00C22D95"/>
    <w:rsid w:val="00C23F6A"/>
    <w:rsid w:val="00C23FB7"/>
    <w:rsid w:val="00C24063"/>
    <w:rsid w:val="00C24103"/>
    <w:rsid w:val="00C2423C"/>
    <w:rsid w:val="00C25700"/>
    <w:rsid w:val="00C30196"/>
    <w:rsid w:val="00C30548"/>
    <w:rsid w:val="00C30DD8"/>
    <w:rsid w:val="00C31D5C"/>
    <w:rsid w:val="00C32E81"/>
    <w:rsid w:val="00C33184"/>
    <w:rsid w:val="00C35F4B"/>
    <w:rsid w:val="00C36A6D"/>
    <w:rsid w:val="00C36B04"/>
    <w:rsid w:val="00C43AE2"/>
    <w:rsid w:val="00C440B1"/>
    <w:rsid w:val="00C441F3"/>
    <w:rsid w:val="00C445E3"/>
    <w:rsid w:val="00C50C55"/>
    <w:rsid w:val="00C54167"/>
    <w:rsid w:val="00C541CC"/>
    <w:rsid w:val="00C55BCE"/>
    <w:rsid w:val="00C562EA"/>
    <w:rsid w:val="00C6043E"/>
    <w:rsid w:val="00C613B7"/>
    <w:rsid w:val="00C6221E"/>
    <w:rsid w:val="00C63703"/>
    <w:rsid w:val="00C63AC4"/>
    <w:rsid w:val="00C65064"/>
    <w:rsid w:val="00C65CAB"/>
    <w:rsid w:val="00C67858"/>
    <w:rsid w:val="00C708ED"/>
    <w:rsid w:val="00C70A76"/>
    <w:rsid w:val="00C70B40"/>
    <w:rsid w:val="00C70BC3"/>
    <w:rsid w:val="00C7297F"/>
    <w:rsid w:val="00C72C8D"/>
    <w:rsid w:val="00C73770"/>
    <w:rsid w:val="00C81061"/>
    <w:rsid w:val="00C811BB"/>
    <w:rsid w:val="00C8257B"/>
    <w:rsid w:val="00C8403D"/>
    <w:rsid w:val="00C840CA"/>
    <w:rsid w:val="00C849E5"/>
    <w:rsid w:val="00C85B12"/>
    <w:rsid w:val="00C86B0C"/>
    <w:rsid w:val="00C877A9"/>
    <w:rsid w:val="00C91A41"/>
    <w:rsid w:val="00C92F45"/>
    <w:rsid w:val="00C93352"/>
    <w:rsid w:val="00C96A9D"/>
    <w:rsid w:val="00C97F52"/>
    <w:rsid w:val="00CA56A3"/>
    <w:rsid w:val="00CA65EB"/>
    <w:rsid w:val="00CA72B5"/>
    <w:rsid w:val="00CB10EF"/>
    <w:rsid w:val="00CB1A57"/>
    <w:rsid w:val="00CB1DDE"/>
    <w:rsid w:val="00CB28F8"/>
    <w:rsid w:val="00CB2F13"/>
    <w:rsid w:val="00CB4618"/>
    <w:rsid w:val="00CB47F7"/>
    <w:rsid w:val="00CB561F"/>
    <w:rsid w:val="00CB6B27"/>
    <w:rsid w:val="00CB76EA"/>
    <w:rsid w:val="00CB7D53"/>
    <w:rsid w:val="00CC217F"/>
    <w:rsid w:val="00CC2737"/>
    <w:rsid w:val="00CC2819"/>
    <w:rsid w:val="00CC33E2"/>
    <w:rsid w:val="00CC40CB"/>
    <w:rsid w:val="00CC4735"/>
    <w:rsid w:val="00CC4AB1"/>
    <w:rsid w:val="00CD3012"/>
    <w:rsid w:val="00CD4591"/>
    <w:rsid w:val="00CD48A2"/>
    <w:rsid w:val="00CD4AE0"/>
    <w:rsid w:val="00CD683A"/>
    <w:rsid w:val="00CD7484"/>
    <w:rsid w:val="00CE2669"/>
    <w:rsid w:val="00CE5E80"/>
    <w:rsid w:val="00CF0BDD"/>
    <w:rsid w:val="00CF0F3B"/>
    <w:rsid w:val="00CF131C"/>
    <w:rsid w:val="00CF1E6A"/>
    <w:rsid w:val="00CF2D67"/>
    <w:rsid w:val="00CF40BF"/>
    <w:rsid w:val="00CF4593"/>
    <w:rsid w:val="00CF6441"/>
    <w:rsid w:val="00D01094"/>
    <w:rsid w:val="00D03324"/>
    <w:rsid w:val="00D03919"/>
    <w:rsid w:val="00D04A7A"/>
    <w:rsid w:val="00D058B0"/>
    <w:rsid w:val="00D062FC"/>
    <w:rsid w:val="00D06EC7"/>
    <w:rsid w:val="00D070BC"/>
    <w:rsid w:val="00D119E2"/>
    <w:rsid w:val="00D11BF0"/>
    <w:rsid w:val="00D12FE8"/>
    <w:rsid w:val="00D133F3"/>
    <w:rsid w:val="00D14A4C"/>
    <w:rsid w:val="00D1616C"/>
    <w:rsid w:val="00D21D4F"/>
    <w:rsid w:val="00D23444"/>
    <w:rsid w:val="00D23E63"/>
    <w:rsid w:val="00D25F38"/>
    <w:rsid w:val="00D26356"/>
    <w:rsid w:val="00D26A39"/>
    <w:rsid w:val="00D26BD1"/>
    <w:rsid w:val="00D274AB"/>
    <w:rsid w:val="00D2756D"/>
    <w:rsid w:val="00D27B20"/>
    <w:rsid w:val="00D30948"/>
    <w:rsid w:val="00D30B96"/>
    <w:rsid w:val="00D30C89"/>
    <w:rsid w:val="00D32151"/>
    <w:rsid w:val="00D321AB"/>
    <w:rsid w:val="00D32288"/>
    <w:rsid w:val="00D328EB"/>
    <w:rsid w:val="00D3292E"/>
    <w:rsid w:val="00D34379"/>
    <w:rsid w:val="00D34444"/>
    <w:rsid w:val="00D36999"/>
    <w:rsid w:val="00D37C66"/>
    <w:rsid w:val="00D41D49"/>
    <w:rsid w:val="00D422F7"/>
    <w:rsid w:val="00D4429E"/>
    <w:rsid w:val="00D44881"/>
    <w:rsid w:val="00D45134"/>
    <w:rsid w:val="00D453A2"/>
    <w:rsid w:val="00D45DD0"/>
    <w:rsid w:val="00D501D7"/>
    <w:rsid w:val="00D508C3"/>
    <w:rsid w:val="00D50910"/>
    <w:rsid w:val="00D51DF8"/>
    <w:rsid w:val="00D5271D"/>
    <w:rsid w:val="00D54067"/>
    <w:rsid w:val="00D54505"/>
    <w:rsid w:val="00D545DD"/>
    <w:rsid w:val="00D56E4B"/>
    <w:rsid w:val="00D61DA2"/>
    <w:rsid w:val="00D622AD"/>
    <w:rsid w:val="00D64C4C"/>
    <w:rsid w:val="00D65625"/>
    <w:rsid w:val="00D73DE3"/>
    <w:rsid w:val="00D7440E"/>
    <w:rsid w:val="00D74913"/>
    <w:rsid w:val="00D7507B"/>
    <w:rsid w:val="00D75A65"/>
    <w:rsid w:val="00D772EB"/>
    <w:rsid w:val="00D803C2"/>
    <w:rsid w:val="00D812DD"/>
    <w:rsid w:val="00D8198B"/>
    <w:rsid w:val="00D81BFC"/>
    <w:rsid w:val="00D828BF"/>
    <w:rsid w:val="00D82C97"/>
    <w:rsid w:val="00D84097"/>
    <w:rsid w:val="00D84766"/>
    <w:rsid w:val="00D8704B"/>
    <w:rsid w:val="00D92974"/>
    <w:rsid w:val="00D95FF8"/>
    <w:rsid w:val="00D961C9"/>
    <w:rsid w:val="00D96C4B"/>
    <w:rsid w:val="00DA14C6"/>
    <w:rsid w:val="00DA4B17"/>
    <w:rsid w:val="00DA4D9B"/>
    <w:rsid w:val="00DA6C6D"/>
    <w:rsid w:val="00DA6E9C"/>
    <w:rsid w:val="00DB0451"/>
    <w:rsid w:val="00DB180B"/>
    <w:rsid w:val="00DB1E20"/>
    <w:rsid w:val="00DB370C"/>
    <w:rsid w:val="00DB583B"/>
    <w:rsid w:val="00DB732D"/>
    <w:rsid w:val="00DB7B24"/>
    <w:rsid w:val="00DC23F5"/>
    <w:rsid w:val="00DD0C5A"/>
    <w:rsid w:val="00DD0E98"/>
    <w:rsid w:val="00DD187D"/>
    <w:rsid w:val="00DD332C"/>
    <w:rsid w:val="00DD6376"/>
    <w:rsid w:val="00DD69BA"/>
    <w:rsid w:val="00DE0060"/>
    <w:rsid w:val="00DE171D"/>
    <w:rsid w:val="00DE2DFE"/>
    <w:rsid w:val="00DE2ED4"/>
    <w:rsid w:val="00DE2F95"/>
    <w:rsid w:val="00DE36F0"/>
    <w:rsid w:val="00DE43D4"/>
    <w:rsid w:val="00DE45A2"/>
    <w:rsid w:val="00DE552A"/>
    <w:rsid w:val="00DE78D7"/>
    <w:rsid w:val="00DF373A"/>
    <w:rsid w:val="00DF46DF"/>
    <w:rsid w:val="00DF6615"/>
    <w:rsid w:val="00DF692B"/>
    <w:rsid w:val="00E006E8"/>
    <w:rsid w:val="00E01727"/>
    <w:rsid w:val="00E02215"/>
    <w:rsid w:val="00E03E1A"/>
    <w:rsid w:val="00E04393"/>
    <w:rsid w:val="00E100E3"/>
    <w:rsid w:val="00E10F4D"/>
    <w:rsid w:val="00E1100E"/>
    <w:rsid w:val="00E13995"/>
    <w:rsid w:val="00E13A76"/>
    <w:rsid w:val="00E16C22"/>
    <w:rsid w:val="00E172BE"/>
    <w:rsid w:val="00E20D71"/>
    <w:rsid w:val="00E20FC1"/>
    <w:rsid w:val="00E21C95"/>
    <w:rsid w:val="00E21FF9"/>
    <w:rsid w:val="00E223CF"/>
    <w:rsid w:val="00E24058"/>
    <w:rsid w:val="00E250E3"/>
    <w:rsid w:val="00E2657B"/>
    <w:rsid w:val="00E27742"/>
    <w:rsid w:val="00E27830"/>
    <w:rsid w:val="00E30AF2"/>
    <w:rsid w:val="00E30AF5"/>
    <w:rsid w:val="00E32CBA"/>
    <w:rsid w:val="00E350E1"/>
    <w:rsid w:val="00E36C4F"/>
    <w:rsid w:val="00E4254F"/>
    <w:rsid w:val="00E457ED"/>
    <w:rsid w:val="00E46016"/>
    <w:rsid w:val="00E50345"/>
    <w:rsid w:val="00E50A86"/>
    <w:rsid w:val="00E51CE4"/>
    <w:rsid w:val="00E56448"/>
    <w:rsid w:val="00E57ECD"/>
    <w:rsid w:val="00E61843"/>
    <w:rsid w:val="00E61C63"/>
    <w:rsid w:val="00E6362C"/>
    <w:rsid w:val="00E6418B"/>
    <w:rsid w:val="00E64EE7"/>
    <w:rsid w:val="00E663FB"/>
    <w:rsid w:val="00E7016E"/>
    <w:rsid w:val="00E7572D"/>
    <w:rsid w:val="00E77146"/>
    <w:rsid w:val="00E77AD0"/>
    <w:rsid w:val="00E8134A"/>
    <w:rsid w:val="00E815F2"/>
    <w:rsid w:val="00E8192C"/>
    <w:rsid w:val="00E81C65"/>
    <w:rsid w:val="00E8231C"/>
    <w:rsid w:val="00E83954"/>
    <w:rsid w:val="00E84DBF"/>
    <w:rsid w:val="00E84FE4"/>
    <w:rsid w:val="00E9002B"/>
    <w:rsid w:val="00E910EC"/>
    <w:rsid w:val="00E92D72"/>
    <w:rsid w:val="00E961B6"/>
    <w:rsid w:val="00E9698E"/>
    <w:rsid w:val="00EA0BD7"/>
    <w:rsid w:val="00EA541B"/>
    <w:rsid w:val="00EB0226"/>
    <w:rsid w:val="00EB181D"/>
    <w:rsid w:val="00EB526F"/>
    <w:rsid w:val="00EB5374"/>
    <w:rsid w:val="00EB6301"/>
    <w:rsid w:val="00EB68CE"/>
    <w:rsid w:val="00EC2AF1"/>
    <w:rsid w:val="00EC2FFD"/>
    <w:rsid w:val="00EC5EFA"/>
    <w:rsid w:val="00EC6534"/>
    <w:rsid w:val="00EC68F9"/>
    <w:rsid w:val="00ED0241"/>
    <w:rsid w:val="00ED07B3"/>
    <w:rsid w:val="00ED2048"/>
    <w:rsid w:val="00ED2BC4"/>
    <w:rsid w:val="00ED5C3F"/>
    <w:rsid w:val="00ED5CF3"/>
    <w:rsid w:val="00ED61B0"/>
    <w:rsid w:val="00ED61F7"/>
    <w:rsid w:val="00ED7411"/>
    <w:rsid w:val="00EE02DA"/>
    <w:rsid w:val="00EE136E"/>
    <w:rsid w:val="00EE212D"/>
    <w:rsid w:val="00EE286F"/>
    <w:rsid w:val="00EE39C0"/>
    <w:rsid w:val="00EE3FE5"/>
    <w:rsid w:val="00EE4C7B"/>
    <w:rsid w:val="00EE6E2E"/>
    <w:rsid w:val="00EE7596"/>
    <w:rsid w:val="00EF07C3"/>
    <w:rsid w:val="00EF7F8A"/>
    <w:rsid w:val="00F05B17"/>
    <w:rsid w:val="00F101A7"/>
    <w:rsid w:val="00F12571"/>
    <w:rsid w:val="00F134FE"/>
    <w:rsid w:val="00F13CF2"/>
    <w:rsid w:val="00F1429A"/>
    <w:rsid w:val="00F14304"/>
    <w:rsid w:val="00F1484E"/>
    <w:rsid w:val="00F1668B"/>
    <w:rsid w:val="00F175D5"/>
    <w:rsid w:val="00F17768"/>
    <w:rsid w:val="00F17F82"/>
    <w:rsid w:val="00F216C3"/>
    <w:rsid w:val="00F22625"/>
    <w:rsid w:val="00F23022"/>
    <w:rsid w:val="00F23C3C"/>
    <w:rsid w:val="00F23D54"/>
    <w:rsid w:val="00F27C75"/>
    <w:rsid w:val="00F31160"/>
    <w:rsid w:val="00F316D7"/>
    <w:rsid w:val="00F321D0"/>
    <w:rsid w:val="00F327F3"/>
    <w:rsid w:val="00F32ECC"/>
    <w:rsid w:val="00F3356D"/>
    <w:rsid w:val="00F35913"/>
    <w:rsid w:val="00F35E40"/>
    <w:rsid w:val="00F37D97"/>
    <w:rsid w:val="00F40014"/>
    <w:rsid w:val="00F400B9"/>
    <w:rsid w:val="00F42704"/>
    <w:rsid w:val="00F4317D"/>
    <w:rsid w:val="00F4375B"/>
    <w:rsid w:val="00F43BF1"/>
    <w:rsid w:val="00F43E0D"/>
    <w:rsid w:val="00F469FF"/>
    <w:rsid w:val="00F46BC4"/>
    <w:rsid w:val="00F46F74"/>
    <w:rsid w:val="00F547D0"/>
    <w:rsid w:val="00F5500A"/>
    <w:rsid w:val="00F56AAF"/>
    <w:rsid w:val="00F56AF5"/>
    <w:rsid w:val="00F62412"/>
    <w:rsid w:val="00F638B5"/>
    <w:rsid w:val="00F63D8C"/>
    <w:rsid w:val="00F64648"/>
    <w:rsid w:val="00F64EA7"/>
    <w:rsid w:val="00F65C49"/>
    <w:rsid w:val="00F66DCE"/>
    <w:rsid w:val="00F677B6"/>
    <w:rsid w:val="00F6799E"/>
    <w:rsid w:val="00F70026"/>
    <w:rsid w:val="00F72979"/>
    <w:rsid w:val="00F73903"/>
    <w:rsid w:val="00F73C90"/>
    <w:rsid w:val="00F746E4"/>
    <w:rsid w:val="00F74734"/>
    <w:rsid w:val="00F75800"/>
    <w:rsid w:val="00F77DF1"/>
    <w:rsid w:val="00F81768"/>
    <w:rsid w:val="00F821BB"/>
    <w:rsid w:val="00F838F4"/>
    <w:rsid w:val="00F91694"/>
    <w:rsid w:val="00F92290"/>
    <w:rsid w:val="00F930E2"/>
    <w:rsid w:val="00F9452C"/>
    <w:rsid w:val="00FA10B7"/>
    <w:rsid w:val="00FA189B"/>
    <w:rsid w:val="00FA3A6E"/>
    <w:rsid w:val="00FA4BB1"/>
    <w:rsid w:val="00FA4F75"/>
    <w:rsid w:val="00FA5206"/>
    <w:rsid w:val="00FA660D"/>
    <w:rsid w:val="00FA7C7D"/>
    <w:rsid w:val="00FB0ACF"/>
    <w:rsid w:val="00FB13F6"/>
    <w:rsid w:val="00FB15B2"/>
    <w:rsid w:val="00FB29B6"/>
    <w:rsid w:val="00FB3AE5"/>
    <w:rsid w:val="00FB6C69"/>
    <w:rsid w:val="00FC258D"/>
    <w:rsid w:val="00FC2B2E"/>
    <w:rsid w:val="00FC2D01"/>
    <w:rsid w:val="00FC36A4"/>
    <w:rsid w:val="00FC6401"/>
    <w:rsid w:val="00FC7945"/>
    <w:rsid w:val="00FD14EC"/>
    <w:rsid w:val="00FD2C08"/>
    <w:rsid w:val="00FD6EF0"/>
    <w:rsid w:val="00FD6F4E"/>
    <w:rsid w:val="00FE05A2"/>
    <w:rsid w:val="00FE1F5A"/>
    <w:rsid w:val="00FE3CAB"/>
    <w:rsid w:val="00FE5076"/>
    <w:rsid w:val="00FF0438"/>
    <w:rsid w:val="00FF10ED"/>
    <w:rsid w:val="00FF3D47"/>
    <w:rsid w:val="00FF4D57"/>
    <w:rsid w:val="00FF624F"/>
    <w:rsid w:val="00FF641D"/>
    <w:rsid w:val="00FF68B4"/>
    <w:rsid w:val="00FF6A57"/>
    <w:rsid w:val="021E6729"/>
    <w:rsid w:val="05D64307"/>
    <w:rsid w:val="062050AA"/>
    <w:rsid w:val="0D2B6019"/>
    <w:rsid w:val="0F0A6A12"/>
    <w:rsid w:val="13F07E5A"/>
    <w:rsid w:val="13F643D4"/>
    <w:rsid w:val="1A205B10"/>
    <w:rsid w:val="1CDA079E"/>
    <w:rsid w:val="1EFFBF9E"/>
    <w:rsid w:val="1FEB529D"/>
    <w:rsid w:val="20D56B01"/>
    <w:rsid w:val="22957429"/>
    <w:rsid w:val="24C6380E"/>
    <w:rsid w:val="266F37D0"/>
    <w:rsid w:val="296F2DDD"/>
    <w:rsid w:val="2C1A79AF"/>
    <w:rsid w:val="2D5A729F"/>
    <w:rsid w:val="37AF3114"/>
    <w:rsid w:val="37F1C816"/>
    <w:rsid w:val="3C8F9CAD"/>
    <w:rsid w:val="3E2D03DB"/>
    <w:rsid w:val="3F692223"/>
    <w:rsid w:val="3FCD6935"/>
    <w:rsid w:val="3FDFA577"/>
    <w:rsid w:val="422C57F5"/>
    <w:rsid w:val="45FA29D7"/>
    <w:rsid w:val="48EE2B39"/>
    <w:rsid w:val="4F69397B"/>
    <w:rsid w:val="52FB5E00"/>
    <w:rsid w:val="56D62BC3"/>
    <w:rsid w:val="578107D4"/>
    <w:rsid w:val="5BBB7429"/>
    <w:rsid w:val="5BC85725"/>
    <w:rsid w:val="5D5F70A7"/>
    <w:rsid w:val="5DEC4EE8"/>
    <w:rsid w:val="5EFE4F64"/>
    <w:rsid w:val="5F48387F"/>
    <w:rsid w:val="5F4C21B2"/>
    <w:rsid w:val="60700E4C"/>
    <w:rsid w:val="642F6EA2"/>
    <w:rsid w:val="65817895"/>
    <w:rsid w:val="6593554C"/>
    <w:rsid w:val="66BE661A"/>
    <w:rsid w:val="6BDEA786"/>
    <w:rsid w:val="6C3D6871"/>
    <w:rsid w:val="6DBB9731"/>
    <w:rsid w:val="6E65605A"/>
    <w:rsid w:val="6F3DB633"/>
    <w:rsid w:val="6F551C1F"/>
    <w:rsid w:val="6FEFC337"/>
    <w:rsid w:val="6FF6A415"/>
    <w:rsid w:val="71333A0D"/>
    <w:rsid w:val="715916C6"/>
    <w:rsid w:val="72B31A15"/>
    <w:rsid w:val="72F7D1F2"/>
    <w:rsid w:val="73AD7AA7"/>
    <w:rsid w:val="73DF5BCF"/>
    <w:rsid w:val="747D0DB7"/>
    <w:rsid w:val="7555635B"/>
    <w:rsid w:val="779BFE35"/>
    <w:rsid w:val="77BD328E"/>
    <w:rsid w:val="7AB211E9"/>
    <w:rsid w:val="7BFE95D2"/>
    <w:rsid w:val="7E1B4C57"/>
    <w:rsid w:val="7E523CF6"/>
    <w:rsid w:val="7EC7C37D"/>
    <w:rsid w:val="7EFF5B2D"/>
    <w:rsid w:val="7FCBFEE4"/>
    <w:rsid w:val="7FF980BE"/>
    <w:rsid w:val="7FFF1CA8"/>
    <w:rsid w:val="91BF0B15"/>
    <w:rsid w:val="9C7F27D3"/>
    <w:rsid w:val="AA6F57B6"/>
    <w:rsid w:val="B67D6FD7"/>
    <w:rsid w:val="B7FFCCC5"/>
    <w:rsid w:val="B9F325E0"/>
    <w:rsid w:val="BFEF639C"/>
    <w:rsid w:val="BFFC19D4"/>
    <w:rsid w:val="D77FE039"/>
    <w:rsid w:val="DEDB969F"/>
    <w:rsid w:val="E27267FA"/>
    <w:rsid w:val="E77FD867"/>
    <w:rsid w:val="E7FDE668"/>
    <w:rsid w:val="EAF12C16"/>
    <w:rsid w:val="EE1F9F2B"/>
    <w:rsid w:val="EFF72FD9"/>
    <w:rsid w:val="EFFB3B56"/>
    <w:rsid w:val="F1FF7726"/>
    <w:rsid w:val="F3FD01BA"/>
    <w:rsid w:val="F4FBCDE5"/>
    <w:rsid w:val="F6CAE303"/>
    <w:rsid w:val="F776F9B5"/>
    <w:rsid w:val="F7D3DD19"/>
    <w:rsid w:val="F7E65591"/>
    <w:rsid w:val="F7FB6097"/>
    <w:rsid w:val="FA7F1D1A"/>
    <w:rsid w:val="FB7F6FDC"/>
    <w:rsid w:val="FBBC53A2"/>
    <w:rsid w:val="FBFBDA7E"/>
    <w:rsid w:val="FDBF737B"/>
    <w:rsid w:val="FEC78D58"/>
    <w:rsid w:val="FF67B42F"/>
    <w:rsid w:val="FFDEF4F7"/>
    <w:rsid w:val="FFE291BC"/>
    <w:rsid w:val="FFEC2ADC"/>
    <w:rsid w:val="FFF76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 w:locked="1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semiHidden="0" w:name="footnote reference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zh-CN" w:eastAsia="zh-CN" w:bidi="ar-SA"/>
    </w:rPr>
  </w:style>
  <w:style w:type="paragraph" w:styleId="3">
    <w:name w:val="heading 1"/>
    <w:basedOn w:val="1"/>
    <w:next w:val="1"/>
    <w:link w:val="34"/>
    <w:qFormat/>
    <w:uiPriority w:val="99"/>
    <w:pPr>
      <w:keepNext/>
      <w:keepLines/>
      <w:autoSpaceDE/>
      <w:autoSpaceDN/>
      <w:spacing w:line="600" w:lineRule="exact"/>
      <w:ind w:firstLine="200" w:firstLineChars="200"/>
      <w:jc w:val="both"/>
      <w:outlineLvl w:val="0"/>
    </w:pPr>
    <w:rPr>
      <w:rFonts w:ascii="Times New Roman" w:hAnsi="Times New Roman" w:eastAsia="黑体" w:cs="Times New Roman"/>
      <w:kern w:val="44"/>
      <w:sz w:val="32"/>
      <w:szCs w:val="24"/>
      <w:lang w:val="en-US"/>
    </w:rPr>
  </w:style>
  <w:style w:type="paragraph" w:styleId="4">
    <w:name w:val="heading 2"/>
    <w:basedOn w:val="1"/>
    <w:next w:val="1"/>
    <w:link w:val="35"/>
    <w:qFormat/>
    <w:uiPriority w:val="99"/>
    <w:pPr>
      <w:keepNext/>
      <w:keepLines/>
      <w:autoSpaceDE/>
      <w:autoSpaceDN/>
      <w:spacing w:line="600" w:lineRule="exact"/>
      <w:ind w:firstLine="200" w:firstLineChars="200"/>
      <w:jc w:val="both"/>
      <w:outlineLvl w:val="1"/>
    </w:pPr>
    <w:rPr>
      <w:rFonts w:ascii="Arial" w:hAnsi="Arial" w:eastAsia="楷体_GB2312" w:cs="Times New Roman"/>
      <w:b/>
      <w:kern w:val="2"/>
      <w:sz w:val="32"/>
      <w:szCs w:val="24"/>
      <w:lang w:val="en-US"/>
    </w:rPr>
  </w:style>
  <w:style w:type="paragraph" w:styleId="5">
    <w:name w:val="heading 3"/>
    <w:basedOn w:val="1"/>
    <w:next w:val="1"/>
    <w:link w:val="36"/>
    <w:qFormat/>
    <w:uiPriority w:val="99"/>
    <w:pPr>
      <w:keepNext/>
      <w:keepLines/>
      <w:autoSpaceDE/>
      <w:autoSpaceDN/>
      <w:spacing w:line="360" w:lineRule="auto"/>
      <w:ind w:firstLine="200" w:firstLineChars="200"/>
      <w:jc w:val="both"/>
      <w:outlineLvl w:val="2"/>
    </w:pPr>
    <w:rPr>
      <w:rFonts w:ascii="Times New Roman" w:hAnsi="Times New Roman" w:cs="Times New Roman"/>
      <w:b/>
      <w:bCs/>
      <w:kern w:val="2"/>
      <w:sz w:val="32"/>
      <w:szCs w:val="32"/>
      <w:lang w:val="en-US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0"/>
    <w:qFormat/>
    <w:uiPriority w:val="99"/>
    <w:pPr>
      <w:ind w:left="320"/>
    </w:pPr>
    <w:rPr>
      <w:sz w:val="32"/>
      <w:szCs w:val="32"/>
    </w:rPr>
  </w:style>
  <w:style w:type="paragraph" w:styleId="6">
    <w:name w:val="toc 7"/>
    <w:basedOn w:val="1"/>
    <w:next w:val="1"/>
    <w:qFormat/>
    <w:uiPriority w:val="99"/>
    <w:pPr>
      <w:ind w:left="1320"/>
    </w:pPr>
    <w:rPr>
      <w:rFonts w:ascii="Calibri" w:hAnsi="Calibri"/>
      <w:sz w:val="18"/>
      <w:szCs w:val="18"/>
    </w:rPr>
  </w:style>
  <w:style w:type="paragraph" w:styleId="7">
    <w:name w:val="Document Map"/>
    <w:basedOn w:val="1"/>
    <w:link w:val="51"/>
    <w:qFormat/>
    <w:uiPriority w:val="99"/>
    <w:pPr>
      <w:shd w:val="clear" w:color="auto" w:fill="000080"/>
      <w:autoSpaceDE/>
      <w:autoSpaceDN/>
      <w:jc w:val="both"/>
    </w:pPr>
    <w:rPr>
      <w:rFonts w:ascii="Calibri" w:hAnsi="Calibri" w:cs="Times New Roman"/>
      <w:sz w:val="24"/>
      <w:szCs w:val="20"/>
      <w:lang w:val="en-US"/>
    </w:rPr>
  </w:style>
  <w:style w:type="paragraph" w:styleId="8">
    <w:name w:val="annotation text"/>
    <w:basedOn w:val="1"/>
    <w:link w:val="37"/>
    <w:qFormat/>
    <w:uiPriority w:val="99"/>
    <w:pPr>
      <w:autoSpaceDE/>
      <w:autoSpaceDN/>
    </w:pPr>
    <w:rPr>
      <w:rFonts w:ascii="Times New Roman" w:hAnsi="Times New Roman" w:cs="Times New Roman"/>
      <w:kern w:val="2"/>
      <w:sz w:val="28"/>
      <w:szCs w:val="24"/>
      <w:lang w:val="en-US"/>
    </w:rPr>
  </w:style>
  <w:style w:type="paragraph" w:styleId="9">
    <w:name w:val="toc 5"/>
    <w:basedOn w:val="1"/>
    <w:next w:val="1"/>
    <w:qFormat/>
    <w:uiPriority w:val="99"/>
    <w:pPr>
      <w:ind w:left="880"/>
    </w:pPr>
    <w:rPr>
      <w:rFonts w:ascii="Calibri" w:hAnsi="Calibri"/>
      <w:sz w:val="18"/>
      <w:szCs w:val="18"/>
    </w:rPr>
  </w:style>
  <w:style w:type="paragraph" w:styleId="10">
    <w:name w:val="toc 3"/>
    <w:basedOn w:val="1"/>
    <w:next w:val="1"/>
    <w:qFormat/>
    <w:uiPriority w:val="39"/>
    <w:pPr>
      <w:ind w:left="440"/>
    </w:pPr>
    <w:rPr>
      <w:rFonts w:ascii="Calibri" w:hAnsi="Calibri"/>
      <w:i/>
      <w:iCs/>
      <w:sz w:val="20"/>
      <w:szCs w:val="20"/>
    </w:rPr>
  </w:style>
  <w:style w:type="paragraph" w:styleId="11">
    <w:name w:val="toc 8"/>
    <w:basedOn w:val="1"/>
    <w:next w:val="1"/>
    <w:qFormat/>
    <w:uiPriority w:val="99"/>
    <w:pPr>
      <w:ind w:left="1540"/>
    </w:pPr>
    <w:rPr>
      <w:rFonts w:ascii="Calibri" w:hAnsi="Calibri"/>
      <w:sz w:val="18"/>
      <w:szCs w:val="18"/>
    </w:rPr>
  </w:style>
  <w:style w:type="paragraph" w:styleId="12">
    <w:name w:val="Date"/>
    <w:basedOn w:val="1"/>
    <w:next w:val="1"/>
    <w:link w:val="41"/>
    <w:qFormat/>
    <w:uiPriority w:val="99"/>
    <w:pPr>
      <w:autoSpaceDE/>
      <w:autoSpaceDN/>
      <w:ind w:left="100" w:leftChars="2500"/>
      <w:jc w:val="both"/>
    </w:pPr>
    <w:rPr>
      <w:rFonts w:ascii="Times New Roman" w:hAnsi="Times New Roman" w:cs="Times New Roman"/>
      <w:kern w:val="2"/>
      <w:sz w:val="28"/>
      <w:szCs w:val="24"/>
      <w:lang w:val="en-US"/>
    </w:rPr>
  </w:style>
  <w:style w:type="paragraph" w:styleId="13">
    <w:name w:val="Balloon Text"/>
    <w:basedOn w:val="1"/>
    <w:link w:val="52"/>
    <w:qFormat/>
    <w:uiPriority w:val="99"/>
    <w:pPr>
      <w:autoSpaceDE/>
      <w:autoSpaceDN/>
      <w:jc w:val="both"/>
    </w:pPr>
    <w:rPr>
      <w:rFonts w:ascii="Calibri" w:hAnsi="Calibri" w:cs="Times New Roman"/>
      <w:sz w:val="18"/>
      <w:szCs w:val="20"/>
      <w:lang w:val="en-US"/>
    </w:rPr>
  </w:style>
  <w:style w:type="paragraph" w:styleId="14">
    <w:name w:val="footer"/>
    <w:basedOn w:val="1"/>
    <w:link w:val="4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link w:val="4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17">
    <w:name w:val="toc 4"/>
    <w:basedOn w:val="1"/>
    <w:next w:val="1"/>
    <w:qFormat/>
    <w:uiPriority w:val="99"/>
    <w:pPr>
      <w:ind w:left="660"/>
    </w:pPr>
    <w:rPr>
      <w:rFonts w:ascii="Calibri" w:hAnsi="Calibri"/>
      <w:sz w:val="18"/>
      <w:szCs w:val="18"/>
    </w:rPr>
  </w:style>
  <w:style w:type="paragraph" w:styleId="18">
    <w:name w:val="footnote text"/>
    <w:basedOn w:val="1"/>
    <w:link w:val="45"/>
    <w:qFormat/>
    <w:uiPriority w:val="99"/>
    <w:pPr>
      <w:autoSpaceDE/>
      <w:autoSpaceDN/>
      <w:snapToGrid w:val="0"/>
    </w:pPr>
    <w:rPr>
      <w:rFonts w:ascii="Times New Roman" w:hAnsi="Times New Roman" w:cs="Times New Roman"/>
      <w:kern w:val="2"/>
      <w:sz w:val="18"/>
      <w:szCs w:val="24"/>
      <w:lang w:val="en-US"/>
    </w:rPr>
  </w:style>
  <w:style w:type="paragraph" w:styleId="19">
    <w:name w:val="toc 6"/>
    <w:basedOn w:val="1"/>
    <w:next w:val="1"/>
    <w:qFormat/>
    <w:uiPriority w:val="99"/>
    <w:pPr>
      <w:ind w:left="1100"/>
    </w:pPr>
    <w:rPr>
      <w:rFonts w:ascii="Calibri" w:hAnsi="Calibri"/>
      <w:sz w:val="18"/>
      <w:szCs w:val="18"/>
    </w:rPr>
  </w:style>
  <w:style w:type="paragraph" w:styleId="20">
    <w:name w:val="toc 2"/>
    <w:basedOn w:val="1"/>
    <w:next w:val="1"/>
    <w:qFormat/>
    <w:uiPriority w:val="39"/>
    <w:pPr>
      <w:ind w:left="220"/>
    </w:pPr>
    <w:rPr>
      <w:rFonts w:ascii="Calibri" w:hAnsi="Calibri"/>
      <w:smallCaps/>
      <w:sz w:val="20"/>
      <w:szCs w:val="20"/>
    </w:rPr>
  </w:style>
  <w:style w:type="paragraph" w:styleId="21">
    <w:name w:val="toc 9"/>
    <w:basedOn w:val="1"/>
    <w:next w:val="1"/>
    <w:qFormat/>
    <w:uiPriority w:val="99"/>
    <w:pPr>
      <w:ind w:left="1760"/>
    </w:pPr>
    <w:rPr>
      <w:rFonts w:ascii="Calibri" w:hAnsi="Calibri"/>
      <w:sz w:val="18"/>
      <w:szCs w:val="18"/>
    </w:rPr>
  </w:style>
  <w:style w:type="paragraph" w:styleId="22">
    <w:name w:val="Normal (Web)"/>
    <w:basedOn w:val="1"/>
    <w:qFormat/>
    <w:uiPriority w:val="99"/>
    <w:pPr>
      <w:widowControl/>
      <w:autoSpaceDE/>
      <w:autoSpaceDN/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23">
    <w:name w:val="Title"/>
    <w:basedOn w:val="1"/>
    <w:next w:val="1"/>
    <w:link w:val="46"/>
    <w:qFormat/>
    <w:uiPriority w:val="99"/>
    <w:pPr>
      <w:autoSpaceDE/>
      <w:autoSpaceDN/>
      <w:spacing w:before="240" w:after="6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/>
    </w:rPr>
  </w:style>
  <w:style w:type="paragraph" w:styleId="24">
    <w:name w:val="annotation subject"/>
    <w:basedOn w:val="8"/>
    <w:next w:val="8"/>
    <w:link w:val="38"/>
    <w:qFormat/>
    <w:uiPriority w:val="99"/>
    <w:rPr>
      <w:b/>
      <w:bCs/>
    </w:rPr>
  </w:style>
  <w:style w:type="table" w:styleId="26">
    <w:name w:val="Table Grid"/>
    <w:basedOn w:val="25"/>
    <w:qFormat/>
    <w:uiPriority w:val="9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qFormat/>
    <w:uiPriority w:val="99"/>
    <w:rPr>
      <w:rFonts w:cs="Times New Roman"/>
      <w:b/>
      <w:bCs/>
    </w:rPr>
  </w:style>
  <w:style w:type="character" w:styleId="29">
    <w:name w:val="page number"/>
    <w:qFormat/>
    <w:uiPriority w:val="99"/>
    <w:rPr>
      <w:rFonts w:cs="Times New Roman"/>
    </w:rPr>
  </w:style>
  <w:style w:type="character" w:styleId="30">
    <w:name w:val="FollowedHyperlink"/>
    <w:qFormat/>
    <w:uiPriority w:val="99"/>
    <w:rPr>
      <w:rFonts w:cs="Times New Roman"/>
      <w:color w:val="800080"/>
      <w:u w:val="single"/>
    </w:rPr>
  </w:style>
  <w:style w:type="character" w:styleId="31">
    <w:name w:val="Hyperlink"/>
    <w:qFormat/>
    <w:uiPriority w:val="99"/>
    <w:rPr>
      <w:rFonts w:cs="Times New Roman"/>
      <w:color w:val="0000FF"/>
      <w:u w:val="single"/>
    </w:rPr>
  </w:style>
  <w:style w:type="character" w:styleId="32">
    <w:name w:val="annotation reference"/>
    <w:qFormat/>
    <w:uiPriority w:val="99"/>
    <w:rPr>
      <w:rFonts w:cs="Times New Roman"/>
      <w:sz w:val="21"/>
      <w:szCs w:val="21"/>
    </w:rPr>
  </w:style>
  <w:style w:type="character" w:styleId="33">
    <w:name w:val="footnote reference"/>
    <w:qFormat/>
    <w:uiPriority w:val="99"/>
    <w:rPr>
      <w:rFonts w:cs="Times New Roman"/>
      <w:vertAlign w:val="superscript"/>
    </w:rPr>
  </w:style>
  <w:style w:type="character" w:customStyle="1" w:styleId="34">
    <w:name w:val="标题 1 Char"/>
    <w:link w:val="3"/>
    <w:qFormat/>
    <w:locked/>
    <w:uiPriority w:val="99"/>
    <w:rPr>
      <w:rFonts w:ascii="Times New Roman" w:hAnsi="Times New Roman" w:eastAsia="黑体" w:cs="Times New Roman"/>
      <w:kern w:val="44"/>
      <w:sz w:val="24"/>
      <w:szCs w:val="24"/>
      <w:lang w:eastAsia="zh-CN"/>
    </w:rPr>
  </w:style>
  <w:style w:type="character" w:customStyle="1" w:styleId="35">
    <w:name w:val="标题 2 Char"/>
    <w:link w:val="4"/>
    <w:qFormat/>
    <w:locked/>
    <w:uiPriority w:val="99"/>
    <w:rPr>
      <w:rFonts w:ascii="Arial" w:hAnsi="Arial" w:eastAsia="楷体_GB2312" w:cs="Times New Roman"/>
      <w:b/>
      <w:kern w:val="2"/>
      <w:sz w:val="24"/>
      <w:szCs w:val="24"/>
      <w:lang w:eastAsia="zh-CN"/>
    </w:rPr>
  </w:style>
  <w:style w:type="character" w:customStyle="1" w:styleId="36">
    <w:name w:val="标题 3 Char"/>
    <w:link w:val="5"/>
    <w:qFormat/>
    <w:locked/>
    <w:uiPriority w:val="99"/>
    <w:rPr>
      <w:rFonts w:ascii="Times New Roman" w:hAnsi="Times New Roman" w:eastAsia="仿宋_GB2312" w:cs="Times New Roman"/>
      <w:b/>
      <w:bCs/>
      <w:kern w:val="2"/>
      <w:sz w:val="32"/>
      <w:szCs w:val="32"/>
      <w:lang w:eastAsia="zh-CN"/>
    </w:rPr>
  </w:style>
  <w:style w:type="character" w:customStyle="1" w:styleId="37">
    <w:name w:val="批注文字 Char"/>
    <w:link w:val="8"/>
    <w:semiHidden/>
    <w:qFormat/>
    <w:locked/>
    <w:uiPriority w:val="99"/>
    <w:rPr>
      <w:rFonts w:ascii="Times New Roman" w:hAnsi="Times New Roman" w:eastAsia="仿宋_GB2312" w:cs="Times New Roman"/>
      <w:kern w:val="2"/>
      <w:sz w:val="24"/>
      <w:szCs w:val="24"/>
      <w:lang w:eastAsia="zh-CN"/>
    </w:rPr>
  </w:style>
  <w:style w:type="character" w:customStyle="1" w:styleId="38">
    <w:name w:val="批注主题 Char"/>
    <w:link w:val="24"/>
    <w:semiHidden/>
    <w:qFormat/>
    <w:locked/>
    <w:uiPriority w:val="99"/>
    <w:rPr>
      <w:rFonts w:ascii="Times New Roman" w:hAnsi="Times New Roman" w:eastAsia="仿宋_GB2312" w:cs="Times New Roman"/>
      <w:b/>
      <w:bCs/>
      <w:kern w:val="2"/>
      <w:sz w:val="24"/>
      <w:szCs w:val="24"/>
      <w:lang w:eastAsia="zh-CN"/>
    </w:rPr>
  </w:style>
  <w:style w:type="character" w:customStyle="1" w:styleId="39">
    <w:name w:val="Document Map Char"/>
    <w:qFormat/>
    <w:locked/>
    <w:uiPriority w:val="99"/>
    <w:rPr>
      <w:rFonts w:ascii="Calibri" w:hAnsi="Calibri" w:eastAsia="仿宋_GB2312"/>
      <w:sz w:val="24"/>
      <w:shd w:val="clear" w:color="auto" w:fill="000080"/>
    </w:rPr>
  </w:style>
  <w:style w:type="character" w:customStyle="1" w:styleId="40">
    <w:name w:val="正文文本 Char"/>
    <w:link w:val="2"/>
    <w:qFormat/>
    <w:locked/>
    <w:uiPriority w:val="99"/>
    <w:rPr>
      <w:rFonts w:ascii="仿宋_GB2312" w:hAnsi="仿宋_GB2312" w:eastAsia="仿宋_GB2312" w:cs="仿宋_GB2312"/>
      <w:sz w:val="32"/>
      <w:szCs w:val="32"/>
      <w:lang w:val="zh-CN" w:eastAsia="zh-CN"/>
    </w:rPr>
  </w:style>
  <w:style w:type="character" w:customStyle="1" w:styleId="41">
    <w:name w:val="日期 Char"/>
    <w:link w:val="12"/>
    <w:qFormat/>
    <w:locked/>
    <w:uiPriority w:val="99"/>
    <w:rPr>
      <w:rFonts w:ascii="Times New Roman" w:hAnsi="Times New Roman" w:eastAsia="仿宋_GB2312" w:cs="Times New Roman"/>
      <w:kern w:val="2"/>
      <w:sz w:val="24"/>
      <w:szCs w:val="24"/>
      <w:lang w:eastAsia="zh-CN"/>
    </w:rPr>
  </w:style>
  <w:style w:type="character" w:customStyle="1" w:styleId="42">
    <w:name w:val="Balloon Text Char"/>
    <w:qFormat/>
    <w:locked/>
    <w:uiPriority w:val="99"/>
    <w:rPr>
      <w:rFonts w:eastAsia="仿宋_GB2312"/>
      <w:sz w:val="18"/>
    </w:rPr>
  </w:style>
  <w:style w:type="character" w:customStyle="1" w:styleId="43">
    <w:name w:val="页脚 Char"/>
    <w:link w:val="14"/>
    <w:qFormat/>
    <w:locked/>
    <w:uiPriority w:val="99"/>
    <w:rPr>
      <w:rFonts w:ascii="仿宋_GB2312" w:hAnsi="仿宋_GB2312" w:eastAsia="仿宋_GB2312" w:cs="仿宋_GB2312"/>
      <w:sz w:val="18"/>
      <w:szCs w:val="18"/>
      <w:lang w:val="zh-CN" w:eastAsia="zh-CN"/>
    </w:rPr>
  </w:style>
  <w:style w:type="character" w:customStyle="1" w:styleId="44">
    <w:name w:val="页眉 Char"/>
    <w:link w:val="15"/>
    <w:qFormat/>
    <w:locked/>
    <w:uiPriority w:val="99"/>
    <w:rPr>
      <w:rFonts w:ascii="仿宋_GB2312" w:hAnsi="仿宋_GB2312" w:eastAsia="仿宋_GB2312" w:cs="仿宋_GB2312"/>
      <w:sz w:val="18"/>
      <w:szCs w:val="18"/>
      <w:lang w:val="zh-CN" w:eastAsia="zh-CN"/>
    </w:rPr>
  </w:style>
  <w:style w:type="character" w:customStyle="1" w:styleId="45">
    <w:name w:val="脚注文本 Char"/>
    <w:link w:val="18"/>
    <w:qFormat/>
    <w:locked/>
    <w:uiPriority w:val="99"/>
    <w:rPr>
      <w:rFonts w:ascii="Times New Roman" w:hAnsi="Times New Roman" w:eastAsia="仿宋_GB2312" w:cs="Times New Roman"/>
      <w:kern w:val="2"/>
      <w:sz w:val="24"/>
      <w:szCs w:val="24"/>
      <w:lang w:eastAsia="zh-CN"/>
    </w:rPr>
  </w:style>
  <w:style w:type="character" w:customStyle="1" w:styleId="46">
    <w:name w:val="标题 Char"/>
    <w:link w:val="23"/>
    <w:qFormat/>
    <w:locked/>
    <w:uiPriority w:val="99"/>
    <w:rPr>
      <w:rFonts w:ascii="Cambria" w:hAnsi="Cambria" w:eastAsia="宋体" w:cs="Times New Roman"/>
      <w:b/>
      <w:bCs/>
      <w:kern w:val="2"/>
      <w:sz w:val="32"/>
      <w:szCs w:val="32"/>
      <w:lang w:eastAsia="zh-CN"/>
    </w:rPr>
  </w:style>
  <w:style w:type="table" w:customStyle="1" w:styleId="47">
    <w:name w:val="Table Normal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8">
    <w:name w:val="列出段落1"/>
    <w:basedOn w:val="1"/>
    <w:qFormat/>
    <w:uiPriority w:val="99"/>
  </w:style>
  <w:style w:type="paragraph" w:customStyle="1" w:styleId="49">
    <w:name w:val="Table Paragraph"/>
    <w:basedOn w:val="1"/>
    <w:qFormat/>
    <w:uiPriority w:val="99"/>
  </w:style>
  <w:style w:type="paragraph" w:customStyle="1" w:styleId="50">
    <w:name w:val="WPSOffice手动目录 2"/>
    <w:qFormat/>
    <w:uiPriority w:val="99"/>
    <w:pPr>
      <w:ind w:left="200" w:leftChars="200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customStyle="1" w:styleId="51">
    <w:name w:val="文档结构图 Char"/>
    <w:link w:val="7"/>
    <w:qFormat/>
    <w:locked/>
    <w:uiPriority w:val="99"/>
    <w:rPr>
      <w:rFonts w:ascii="Calibri" w:hAnsi="Calibri" w:eastAsia="仿宋_GB2312" w:cs="Times New Roman"/>
      <w:sz w:val="20"/>
      <w:szCs w:val="20"/>
      <w:shd w:val="clear" w:color="auto" w:fill="000080"/>
      <w:lang w:eastAsia="zh-CN"/>
    </w:rPr>
  </w:style>
  <w:style w:type="character" w:customStyle="1" w:styleId="52">
    <w:name w:val="批注框文本 Char"/>
    <w:link w:val="13"/>
    <w:qFormat/>
    <w:locked/>
    <w:uiPriority w:val="99"/>
    <w:rPr>
      <w:rFonts w:ascii="Calibri" w:hAnsi="Calibri" w:eastAsia="仿宋_GB2312" w:cs="Times New Roman"/>
      <w:sz w:val="20"/>
      <w:szCs w:val="20"/>
      <w:lang w:eastAsia="zh-CN"/>
    </w:rPr>
  </w:style>
  <w:style w:type="character" w:customStyle="1" w:styleId="53">
    <w:name w:val="Balloon Text Char1"/>
    <w:semiHidden/>
    <w:qFormat/>
    <w:locked/>
    <w:uiPriority w:val="99"/>
    <w:rPr>
      <w:rFonts w:ascii="Times New Roman" w:hAnsi="Times New Roman" w:eastAsia="仿宋_GB2312" w:cs="Times New Roman"/>
      <w:sz w:val="2"/>
    </w:rPr>
  </w:style>
  <w:style w:type="paragraph" w:customStyle="1" w:styleId="54">
    <w:name w:val="样式 样式 正文1 + 首行缩进:  2 字符 + 首行缩进:  2 字符"/>
    <w:basedOn w:val="1"/>
    <w:qFormat/>
    <w:uiPriority w:val="99"/>
    <w:pPr>
      <w:widowControl/>
      <w:autoSpaceDE/>
      <w:autoSpaceDN/>
      <w:spacing w:line="540" w:lineRule="exact"/>
      <w:ind w:firstLine="600" w:firstLineChars="200"/>
    </w:pPr>
    <w:rPr>
      <w:rFonts w:hAnsi="宋体" w:cs="宋体"/>
      <w:sz w:val="30"/>
      <w:szCs w:val="30"/>
      <w:lang w:val="en-US"/>
    </w:rPr>
  </w:style>
  <w:style w:type="paragraph" w:customStyle="1" w:styleId="55">
    <w:name w:val="_Style 4"/>
    <w:basedOn w:val="3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paragraph" w:customStyle="1" w:styleId="56">
    <w:name w:val="列出段落11"/>
    <w:basedOn w:val="1"/>
    <w:qFormat/>
    <w:uiPriority w:val="99"/>
    <w:pPr>
      <w:autoSpaceDE/>
      <w:autoSpaceDN/>
      <w:ind w:firstLine="420" w:firstLineChars="200"/>
      <w:jc w:val="both"/>
    </w:pPr>
    <w:rPr>
      <w:rFonts w:ascii="Calibri" w:hAnsi="Calibri" w:cs="Times New Roman"/>
      <w:kern w:val="2"/>
      <w:sz w:val="28"/>
      <w:lang w:val="en-US"/>
    </w:rPr>
  </w:style>
  <w:style w:type="paragraph" w:customStyle="1" w:styleId="57">
    <w:name w:val="font5"/>
    <w:basedOn w:val="1"/>
    <w:qFormat/>
    <w:uiPriority w:val="99"/>
    <w:pPr>
      <w:widowControl/>
      <w:autoSpaceDE/>
      <w:autoSpaceDN/>
      <w:spacing w:before="100" w:beforeAutospacing="1" w:after="100" w:afterAutospacing="1"/>
    </w:pPr>
    <w:rPr>
      <w:rFonts w:ascii="宋体" w:hAnsi="宋体" w:eastAsia="宋体" w:cs="宋体"/>
      <w:sz w:val="18"/>
      <w:szCs w:val="18"/>
      <w:lang w:val="en-US"/>
    </w:rPr>
  </w:style>
  <w:style w:type="paragraph" w:customStyle="1" w:styleId="58">
    <w:name w:val="xl65"/>
    <w:basedOn w:val="1"/>
    <w:qFormat/>
    <w:uiPriority w:val="99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sz w:val="24"/>
      <w:szCs w:val="24"/>
      <w:lang w:val="en-US"/>
    </w:rPr>
  </w:style>
  <w:style w:type="paragraph" w:customStyle="1" w:styleId="59">
    <w:name w:val="xl66"/>
    <w:basedOn w:val="1"/>
    <w:qFormat/>
    <w:uiPriority w:val="99"/>
    <w:pPr>
      <w:widowControl/>
      <w:pBdr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sz w:val="24"/>
      <w:szCs w:val="24"/>
      <w:lang w:val="en-US"/>
    </w:rPr>
  </w:style>
  <w:style w:type="paragraph" w:customStyle="1" w:styleId="60">
    <w:name w:val="xl67"/>
    <w:basedOn w:val="1"/>
    <w:qFormat/>
    <w:uiPriority w:val="99"/>
    <w:pPr>
      <w:widowControl/>
      <w:pBdr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sz w:val="24"/>
      <w:szCs w:val="24"/>
      <w:lang w:val="en-US"/>
    </w:rPr>
  </w:style>
  <w:style w:type="paragraph" w:customStyle="1" w:styleId="61">
    <w:name w:val="xl68"/>
    <w:basedOn w:val="1"/>
    <w:qFormat/>
    <w:uiPriority w:val="99"/>
    <w:pPr>
      <w:widowControl/>
      <w:pBdr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sz w:val="24"/>
      <w:szCs w:val="24"/>
      <w:lang w:val="en-US"/>
    </w:rPr>
  </w:style>
  <w:style w:type="paragraph" w:customStyle="1" w:styleId="62">
    <w:name w:val="xl69"/>
    <w:basedOn w:val="1"/>
    <w:qFormat/>
    <w:uiPriority w:val="99"/>
    <w:pPr>
      <w:widowControl/>
      <w:pBdr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sz w:val="24"/>
      <w:szCs w:val="24"/>
      <w:lang w:val="en-US"/>
    </w:rPr>
  </w:style>
  <w:style w:type="character" w:customStyle="1" w:styleId="63">
    <w:name w:val="Document Map Char1"/>
    <w:semiHidden/>
    <w:qFormat/>
    <w:locked/>
    <w:uiPriority w:val="99"/>
    <w:rPr>
      <w:rFonts w:ascii="Times New Roman" w:hAnsi="Times New Roman" w:eastAsia="仿宋_GB2312" w:cs="Times New Roman"/>
      <w:sz w:val="2"/>
    </w:rPr>
  </w:style>
  <w:style w:type="paragraph" w:customStyle="1" w:styleId="64">
    <w:name w:val="TOC 标题1"/>
    <w:basedOn w:val="3"/>
    <w:next w:val="1"/>
    <w:qFormat/>
    <w:uiPriority w:val="99"/>
    <w:pPr>
      <w:widowControl/>
      <w:spacing w:before="480" w:line="276" w:lineRule="auto"/>
      <w:ind w:firstLine="0" w:firstLineChars="0"/>
      <w:jc w:val="left"/>
      <w:outlineLvl w:val="9"/>
    </w:pPr>
    <w:rPr>
      <w:rFonts w:ascii="Cambria" w:hAnsi="Cambria" w:eastAsia="宋体"/>
      <w:b/>
      <w:bCs/>
      <w:color w:val="365F91"/>
      <w:kern w:val="0"/>
      <w:sz w:val="28"/>
      <w:szCs w:val="28"/>
    </w:rPr>
  </w:style>
  <w:style w:type="character" w:customStyle="1" w:styleId="65">
    <w:name w:val="不明显强调1"/>
    <w:qFormat/>
    <w:uiPriority w:val="99"/>
    <w:rPr>
      <w:i/>
      <w:color w:val="404040"/>
    </w:rPr>
  </w:style>
  <w:style w:type="paragraph" w:customStyle="1" w:styleId="66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paragraph" w:customStyle="1" w:styleId="67">
    <w:name w:val="无间隔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68">
    <w:name w:val="List Paragraph"/>
    <w:basedOn w:val="1"/>
    <w:qFormat/>
    <w:uiPriority w:val="99"/>
    <w:pPr>
      <w:autoSpaceDE/>
      <w:autoSpaceDN/>
      <w:ind w:firstLine="420" w:firstLineChars="200"/>
      <w:jc w:val="both"/>
    </w:pPr>
    <w:rPr>
      <w:rFonts w:ascii="Calibri" w:hAnsi="Calibri" w:eastAsia="宋体" w:cs="Times New Roman"/>
      <w:kern w:val="2"/>
      <w:sz w:val="21"/>
      <w:lang w:val="en-US"/>
    </w:rPr>
  </w:style>
  <w:style w:type="paragraph" w:customStyle="1" w:styleId="69">
    <w:name w:val="TOC 标题2"/>
    <w:basedOn w:val="3"/>
    <w:next w:val="1"/>
    <w:qFormat/>
    <w:uiPriority w:val="99"/>
    <w:pPr>
      <w:widowControl/>
      <w:spacing w:before="480" w:line="276" w:lineRule="auto"/>
      <w:ind w:firstLine="0" w:firstLineChars="0"/>
      <w:jc w:val="left"/>
      <w:outlineLvl w:val="9"/>
    </w:pPr>
    <w:rPr>
      <w:rFonts w:ascii="Cambria" w:hAnsi="Cambria" w:eastAsia="宋体"/>
      <w:b/>
      <w:bCs/>
      <w:color w:val="365F91"/>
      <w:kern w:val="0"/>
      <w:sz w:val="28"/>
      <w:szCs w:val="28"/>
    </w:rPr>
  </w:style>
  <w:style w:type="paragraph" w:customStyle="1" w:styleId="70">
    <w:name w:val="修订2"/>
    <w:hidden/>
    <w:qFormat/>
    <w:uiPriority w:val="99"/>
    <w:rPr>
      <w:rFonts w:ascii="仿宋_GB2312" w:hAnsi="仿宋_GB2312" w:eastAsia="仿宋_GB2312" w:cs="仿宋_GB2312"/>
      <w:sz w:val="22"/>
      <w:szCs w:val="22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AC2A87-9288-4B0B-8123-A3FD1E35C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22</Pages>
  <Words>1616</Words>
  <Characters>9214</Characters>
  <Lines>76</Lines>
  <Paragraphs>21</Paragraphs>
  <TotalTime>28</TotalTime>
  <ScaleCrop>false</ScaleCrop>
  <LinksUpToDate>false</LinksUpToDate>
  <CharactersWithSpaces>10809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2021-08-18T06:29:00Z</dcterms:created>
  <dc:creator>liuf</dc:creator>
  <cp:lastModifiedBy>贺华</cp:lastModifiedBy>
  <cp:lastPrinted>2021-09-01T01:39:00Z</cp:lastPrinted>
  <dcterms:modified xsi:type="dcterms:W3CDTF">2021-11-30T06:08:15Z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WPS 文字</vt:lpwstr>
  </property>
  <property fmtid="{D5CDD505-2E9C-101B-9397-08002B2CF9AE}" pid="3" name="KSOProductBuildVer">
    <vt:lpwstr>2052-11.1.0.11115</vt:lpwstr>
  </property>
  <property fmtid="{D5CDD505-2E9C-101B-9397-08002B2CF9AE}" pid="4" name="ICV">
    <vt:lpwstr>C92B729F0D1D4A5B9C4C8B7F8C1C389B</vt:lpwstr>
  </property>
</Properties>
</file>